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82B" w:rsidRPr="00A4438D" w:rsidRDefault="00F9782B" w:rsidP="00F9782B">
      <w:pPr>
        <w:pStyle w:val="a3"/>
        <w:jc w:val="center"/>
        <w:rPr>
          <w:rFonts w:ascii="Times New Roman" w:hAnsi="Times New Roman" w:cs="Times New Roman"/>
          <w:b/>
          <w:sz w:val="26"/>
          <w:szCs w:val="26"/>
        </w:rPr>
      </w:pPr>
      <w:r w:rsidRPr="00A4438D">
        <w:rPr>
          <w:rFonts w:ascii="Times New Roman" w:hAnsi="Times New Roman" w:cs="Times New Roman"/>
          <w:b/>
          <w:sz w:val="26"/>
          <w:szCs w:val="26"/>
        </w:rPr>
        <w:t>ОТЧЕТ</w:t>
      </w:r>
    </w:p>
    <w:p w:rsidR="00F9782B" w:rsidRDefault="00A4438D" w:rsidP="00F9782B">
      <w:pPr>
        <w:pStyle w:val="a3"/>
        <w:jc w:val="center"/>
        <w:rPr>
          <w:rFonts w:ascii="Times New Roman" w:hAnsi="Times New Roman" w:cs="Times New Roman"/>
          <w:sz w:val="26"/>
          <w:szCs w:val="26"/>
        </w:rPr>
      </w:pPr>
      <w:r>
        <w:rPr>
          <w:rFonts w:ascii="Times New Roman" w:hAnsi="Times New Roman" w:cs="Times New Roman"/>
          <w:sz w:val="26"/>
          <w:szCs w:val="26"/>
        </w:rPr>
        <w:t>об исполнении Плана мероприятий («дорожной карты») по реализации Стратегии социально-экономического развития города Когалыма до 2020 года и на период до 2030 года и Плана мероприятий социально-экономического развития города Когалыма на 2014-2019 годы</w:t>
      </w:r>
      <w:r w:rsidR="005F3583">
        <w:rPr>
          <w:rFonts w:ascii="Times New Roman" w:hAnsi="Times New Roman" w:cs="Times New Roman"/>
          <w:sz w:val="26"/>
          <w:szCs w:val="26"/>
        </w:rPr>
        <w:t xml:space="preserve"> </w:t>
      </w:r>
    </w:p>
    <w:p w:rsidR="00A4438D" w:rsidRPr="00A4438D" w:rsidRDefault="00A4438D" w:rsidP="00F9782B">
      <w:pPr>
        <w:pStyle w:val="a3"/>
        <w:jc w:val="center"/>
        <w:rPr>
          <w:rFonts w:ascii="Times New Roman" w:hAnsi="Times New Roman" w:cs="Times New Roman"/>
          <w:b/>
          <w:sz w:val="26"/>
          <w:szCs w:val="26"/>
        </w:rPr>
      </w:pPr>
      <w:r>
        <w:rPr>
          <w:rFonts w:ascii="Times New Roman" w:hAnsi="Times New Roman" w:cs="Times New Roman"/>
          <w:b/>
          <w:sz w:val="26"/>
          <w:szCs w:val="26"/>
        </w:rPr>
        <w:t>в</w:t>
      </w:r>
      <w:r w:rsidRPr="00A4438D">
        <w:rPr>
          <w:rFonts w:ascii="Times New Roman" w:hAnsi="Times New Roman" w:cs="Times New Roman"/>
          <w:b/>
          <w:sz w:val="26"/>
          <w:szCs w:val="26"/>
        </w:rPr>
        <w:t xml:space="preserve"> 2015 год</w:t>
      </w:r>
      <w:r>
        <w:rPr>
          <w:rFonts w:ascii="Times New Roman" w:hAnsi="Times New Roman" w:cs="Times New Roman"/>
          <w:b/>
          <w:sz w:val="26"/>
          <w:szCs w:val="26"/>
        </w:rPr>
        <w:t>у</w:t>
      </w:r>
    </w:p>
    <w:p w:rsidR="00F9782B" w:rsidRDefault="00F9782B" w:rsidP="00F9782B">
      <w:pPr>
        <w:pStyle w:val="a3"/>
        <w:jc w:val="center"/>
      </w:pPr>
    </w:p>
    <w:p w:rsidR="002E3C2F" w:rsidRDefault="002E3C2F" w:rsidP="00AA46D4">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Стратегия социально-экономического развития города Когалыма до 2020 года и на период до 2030 года была утверждена решением Думы города Когалыма от 23.12.2014 №494-ГД</w:t>
      </w:r>
      <w:r w:rsidR="00740FB9">
        <w:rPr>
          <w:rFonts w:ascii="Times New Roman" w:hAnsi="Times New Roman"/>
          <w:sz w:val="26"/>
          <w:szCs w:val="26"/>
        </w:rPr>
        <w:t xml:space="preserve"> (далее – Стратегии).</w:t>
      </w:r>
    </w:p>
    <w:p w:rsidR="00740FB9" w:rsidRDefault="00740FB9" w:rsidP="00AA46D4">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В целях реализации Стратегии в 2015 году постановлением Администрации города Когалыма был утвержден План </w:t>
      </w:r>
      <w:r w:rsidR="004D1CE1">
        <w:rPr>
          <w:rFonts w:ascii="Times New Roman" w:hAnsi="Times New Roman"/>
          <w:sz w:val="26"/>
          <w:szCs w:val="26"/>
        </w:rPr>
        <w:t xml:space="preserve">мероприятий </w:t>
      </w:r>
      <w:r w:rsidR="004D1CE1" w:rsidRPr="004D1CE1">
        <w:rPr>
          <w:rFonts w:ascii="Times New Roman" w:hAnsi="Times New Roman"/>
          <w:sz w:val="26"/>
          <w:szCs w:val="26"/>
        </w:rPr>
        <w:t>(«дорожн</w:t>
      </w:r>
      <w:r w:rsidR="004D1CE1">
        <w:rPr>
          <w:rFonts w:ascii="Times New Roman" w:hAnsi="Times New Roman"/>
          <w:sz w:val="26"/>
          <w:szCs w:val="26"/>
        </w:rPr>
        <w:t>ая</w:t>
      </w:r>
      <w:r w:rsidR="004D1CE1" w:rsidRPr="004D1CE1">
        <w:rPr>
          <w:rFonts w:ascii="Times New Roman" w:hAnsi="Times New Roman"/>
          <w:sz w:val="26"/>
          <w:szCs w:val="26"/>
        </w:rPr>
        <w:t xml:space="preserve"> карт</w:t>
      </w:r>
      <w:r w:rsidR="004D1CE1">
        <w:rPr>
          <w:rFonts w:ascii="Times New Roman" w:hAnsi="Times New Roman"/>
          <w:sz w:val="26"/>
          <w:szCs w:val="26"/>
        </w:rPr>
        <w:t>а</w:t>
      </w:r>
      <w:r w:rsidR="004D1CE1" w:rsidRPr="004D1CE1">
        <w:rPr>
          <w:rFonts w:ascii="Times New Roman" w:hAnsi="Times New Roman"/>
          <w:sz w:val="26"/>
          <w:szCs w:val="26"/>
        </w:rPr>
        <w:t>») по реализации Стратегии социально-экономического развития города Когалыма до 2020 года и на период до 2030 года и Плана мероприятий социально-экономического развития города Когалыма на 2014-2019 годы</w:t>
      </w:r>
      <w:r w:rsidR="004D1CE1">
        <w:rPr>
          <w:rFonts w:ascii="Times New Roman" w:hAnsi="Times New Roman"/>
          <w:sz w:val="26"/>
          <w:szCs w:val="26"/>
        </w:rPr>
        <w:t xml:space="preserve"> (далее – План мероприятий).</w:t>
      </w:r>
    </w:p>
    <w:p w:rsidR="00AA46D4" w:rsidRPr="005E5F8C" w:rsidRDefault="00AA46D4" w:rsidP="00AA46D4">
      <w:pPr>
        <w:autoSpaceDE w:val="0"/>
        <w:autoSpaceDN w:val="0"/>
        <w:adjustRightInd w:val="0"/>
        <w:spacing w:after="0" w:line="240" w:lineRule="auto"/>
        <w:ind w:firstLine="709"/>
        <w:jc w:val="both"/>
        <w:rPr>
          <w:rFonts w:ascii="Times New Roman" w:hAnsi="Times New Roman"/>
          <w:sz w:val="26"/>
          <w:szCs w:val="26"/>
        </w:rPr>
      </w:pPr>
      <w:r w:rsidRPr="005E5F8C">
        <w:rPr>
          <w:rFonts w:ascii="Times New Roman" w:hAnsi="Times New Roman"/>
          <w:sz w:val="26"/>
          <w:szCs w:val="26"/>
        </w:rPr>
        <w:t>Главная цель Плана мероприятий - повышение</w:t>
      </w:r>
      <w:r w:rsidRPr="004A3133">
        <w:rPr>
          <w:rFonts w:ascii="Times New Roman" w:hAnsi="Times New Roman"/>
          <w:sz w:val="26"/>
          <w:szCs w:val="26"/>
        </w:rPr>
        <w:t xml:space="preserve"> качества жизни населения за счет устойчивого, динамичного развития экономики и создания благоприятной окружающей среды для жителей города Когалыма.</w:t>
      </w:r>
      <w:r w:rsidR="00B27F08">
        <w:rPr>
          <w:rFonts w:ascii="Times New Roman" w:hAnsi="Times New Roman"/>
          <w:sz w:val="26"/>
          <w:szCs w:val="26"/>
        </w:rPr>
        <w:t xml:space="preserve"> </w:t>
      </w:r>
      <w:r w:rsidRPr="005E5F8C">
        <w:rPr>
          <w:rFonts w:ascii="Times New Roman" w:hAnsi="Times New Roman"/>
          <w:sz w:val="26"/>
          <w:szCs w:val="26"/>
        </w:rPr>
        <w:t>План мероприятий является инструментом реализации Стратегии и учитывает приоритеты социально-экономического развития Российской Федерации, Ханты-Мансийского автономного округа – Югры на среднесрочный период, задачи, поставленные указами Президента Российской Федерации от 7 мая 2012 года.</w:t>
      </w:r>
    </w:p>
    <w:p w:rsidR="005F3583" w:rsidRDefault="00467F9A" w:rsidP="005143B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Достижение стратегической цели осуществляется по 4 стратегическим направлениям:</w:t>
      </w:r>
    </w:p>
    <w:p w:rsidR="00467F9A" w:rsidRDefault="00467F9A" w:rsidP="005143B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Повышение эффективности и конкурентоспособности экономики;</w:t>
      </w:r>
    </w:p>
    <w:p w:rsidR="00467F9A" w:rsidRDefault="00467F9A" w:rsidP="005143B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Развитие человеческого капитала;</w:t>
      </w:r>
    </w:p>
    <w:p w:rsidR="00467F9A" w:rsidRDefault="00467F9A" w:rsidP="005143B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Инфраструктурное развитие;</w:t>
      </w:r>
    </w:p>
    <w:p w:rsidR="00467F9A" w:rsidRDefault="00467F9A" w:rsidP="005143B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Развитие муниципального управления.</w:t>
      </w:r>
    </w:p>
    <w:p w:rsidR="00467F9A" w:rsidRDefault="00467F9A" w:rsidP="005143B6">
      <w:pPr>
        <w:autoSpaceDE w:val="0"/>
        <w:autoSpaceDN w:val="0"/>
        <w:adjustRightInd w:val="0"/>
        <w:spacing w:after="0" w:line="240" w:lineRule="auto"/>
        <w:ind w:firstLine="709"/>
        <w:jc w:val="both"/>
        <w:rPr>
          <w:rFonts w:ascii="Times New Roman" w:hAnsi="Times New Roman"/>
          <w:sz w:val="26"/>
          <w:szCs w:val="26"/>
        </w:rPr>
      </w:pPr>
    </w:p>
    <w:p w:rsidR="005143B6" w:rsidRDefault="005F3583" w:rsidP="005143B6">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Всего Планом мероприятий </w:t>
      </w:r>
      <w:r>
        <w:rPr>
          <w:rFonts w:ascii="Times New Roman" w:eastAsia="Times New Roman" w:hAnsi="Times New Roman" w:cs="Times New Roman"/>
          <w:sz w:val="26"/>
          <w:szCs w:val="26"/>
          <w:lang w:eastAsia="ru-RU"/>
        </w:rPr>
        <w:t xml:space="preserve">предусмотрена </w:t>
      </w:r>
      <w:r w:rsidR="005143B6" w:rsidRPr="00366335">
        <w:rPr>
          <w:rFonts w:ascii="Times New Roman" w:eastAsia="Times New Roman" w:hAnsi="Times New Roman" w:cs="Times New Roman"/>
          <w:sz w:val="26"/>
          <w:szCs w:val="26"/>
          <w:lang w:eastAsia="ru-RU"/>
        </w:rPr>
        <w:t>реализаци</w:t>
      </w:r>
      <w:r>
        <w:rPr>
          <w:rFonts w:ascii="Times New Roman" w:eastAsia="Times New Roman" w:hAnsi="Times New Roman" w:cs="Times New Roman"/>
          <w:sz w:val="26"/>
          <w:szCs w:val="26"/>
          <w:lang w:eastAsia="ru-RU"/>
        </w:rPr>
        <w:t>я</w:t>
      </w:r>
      <w:r w:rsidR="005143B6" w:rsidRPr="00366335">
        <w:rPr>
          <w:rFonts w:ascii="Times New Roman" w:eastAsia="Times New Roman" w:hAnsi="Times New Roman" w:cs="Times New Roman"/>
          <w:sz w:val="26"/>
          <w:szCs w:val="26"/>
          <w:lang w:eastAsia="ru-RU"/>
        </w:rPr>
        <w:t xml:space="preserve"> </w:t>
      </w:r>
      <w:r w:rsidR="0044769D">
        <w:rPr>
          <w:rFonts w:ascii="Times New Roman" w:hAnsi="Times New Roman"/>
          <w:sz w:val="26"/>
          <w:szCs w:val="26"/>
        </w:rPr>
        <w:t>2</w:t>
      </w:r>
      <w:r w:rsidR="0035740A">
        <w:rPr>
          <w:rFonts w:ascii="Times New Roman" w:hAnsi="Times New Roman"/>
          <w:sz w:val="26"/>
          <w:szCs w:val="26"/>
        </w:rPr>
        <w:t>5</w:t>
      </w:r>
      <w:r w:rsidR="005143B6" w:rsidRPr="00FF4015">
        <w:rPr>
          <w:rFonts w:ascii="Times New Roman" w:hAnsi="Times New Roman"/>
          <w:bCs/>
          <w:sz w:val="26"/>
          <w:szCs w:val="26"/>
        </w:rPr>
        <w:t xml:space="preserve"> </w:t>
      </w:r>
      <w:r w:rsidR="005143B6">
        <w:rPr>
          <w:rFonts w:ascii="Times New Roman" w:hAnsi="Times New Roman"/>
          <w:sz w:val="26"/>
          <w:szCs w:val="26"/>
        </w:rPr>
        <w:t>задач, в том числе 70 мероприятий, направленных на их решение.</w:t>
      </w:r>
    </w:p>
    <w:p w:rsidR="00E43B86" w:rsidRDefault="00D1033F" w:rsidP="00D1033F">
      <w:pPr>
        <w:pStyle w:val="Default"/>
        <w:ind w:firstLine="709"/>
        <w:jc w:val="both"/>
        <w:rPr>
          <w:color w:val="auto"/>
          <w:sz w:val="26"/>
          <w:szCs w:val="26"/>
        </w:rPr>
      </w:pPr>
      <w:r w:rsidRPr="00181978">
        <w:rPr>
          <w:color w:val="auto"/>
          <w:sz w:val="26"/>
          <w:szCs w:val="26"/>
        </w:rPr>
        <w:t xml:space="preserve">Общий объем финансирования Плана мероприятий на 2015 год составил </w:t>
      </w:r>
      <w:r w:rsidR="000633D1">
        <w:rPr>
          <w:color w:val="auto"/>
          <w:sz w:val="26"/>
          <w:szCs w:val="26"/>
        </w:rPr>
        <w:t xml:space="preserve">       </w:t>
      </w:r>
      <w:r w:rsidR="000633D1">
        <w:rPr>
          <w:b/>
          <w:color w:val="auto"/>
          <w:sz w:val="26"/>
          <w:szCs w:val="26"/>
        </w:rPr>
        <w:t>800 950,1</w:t>
      </w:r>
      <w:r w:rsidRPr="00CE0CC7">
        <w:rPr>
          <w:b/>
          <w:color w:val="auto"/>
          <w:sz w:val="26"/>
          <w:szCs w:val="26"/>
        </w:rPr>
        <w:t xml:space="preserve"> тыс. рублей</w:t>
      </w:r>
      <w:r w:rsidRPr="00181978">
        <w:rPr>
          <w:color w:val="auto"/>
          <w:sz w:val="26"/>
          <w:szCs w:val="26"/>
        </w:rPr>
        <w:t>, из них</w:t>
      </w:r>
      <w:r w:rsidR="00E43B86">
        <w:rPr>
          <w:color w:val="auto"/>
          <w:sz w:val="26"/>
          <w:szCs w:val="26"/>
        </w:rPr>
        <w:t>:</w:t>
      </w:r>
    </w:p>
    <w:p w:rsidR="00E43B86" w:rsidRDefault="00E43B86" w:rsidP="00D1033F">
      <w:pPr>
        <w:pStyle w:val="Default"/>
        <w:ind w:firstLine="709"/>
        <w:jc w:val="both"/>
        <w:rPr>
          <w:color w:val="auto"/>
          <w:sz w:val="26"/>
          <w:szCs w:val="26"/>
        </w:rPr>
      </w:pPr>
      <w:r>
        <w:rPr>
          <w:color w:val="auto"/>
          <w:sz w:val="26"/>
          <w:szCs w:val="26"/>
        </w:rPr>
        <w:t xml:space="preserve">- </w:t>
      </w:r>
      <w:r w:rsidRPr="00FF4015">
        <w:rPr>
          <w:color w:val="auto"/>
          <w:sz w:val="26"/>
          <w:szCs w:val="26"/>
        </w:rPr>
        <w:t>5 067,6</w:t>
      </w:r>
      <w:r w:rsidRPr="00181978">
        <w:rPr>
          <w:color w:val="auto"/>
          <w:sz w:val="26"/>
          <w:szCs w:val="26"/>
        </w:rPr>
        <w:t xml:space="preserve"> тыс. рублей </w:t>
      </w:r>
      <w:r w:rsidR="00883528">
        <w:rPr>
          <w:color w:val="auto"/>
          <w:sz w:val="26"/>
          <w:szCs w:val="26"/>
        </w:rPr>
        <w:t xml:space="preserve">- </w:t>
      </w:r>
      <w:r w:rsidRPr="00181978">
        <w:rPr>
          <w:color w:val="auto"/>
          <w:sz w:val="26"/>
          <w:szCs w:val="26"/>
        </w:rPr>
        <w:t>средств федерального бюджета</w:t>
      </w:r>
      <w:r>
        <w:rPr>
          <w:color w:val="auto"/>
          <w:sz w:val="26"/>
          <w:szCs w:val="26"/>
        </w:rPr>
        <w:t>;</w:t>
      </w:r>
    </w:p>
    <w:p w:rsidR="00E43B86" w:rsidRDefault="00E43B86" w:rsidP="00D1033F">
      <w:pPr>
        <w:pStyle w:val="Default"/>
        <w:ind w:firstLine="709"/>
        <w:jc w:val="both"/>
        <w:rPr>
          <w:color w:val="auto"/>
          <w:sz w:val="26"/>
          <w:szCs w:val="26"/>
        </w:rPr>
      </w:pPr>
      <w:r>
        <w:rPr>
          <w:color w:val="auto"/>
          <w:sz w:val="26"/>
          <w:szCs w:val="26"/>
        </w:rPr>
        <w:t xml:space="preserve">- </w:t>
      </w:r>
      <w:r w:rsidRPr="00181978">
        <w:rPr>
          <w:color w:val="auto"/>
          <w:sz w:val="26"/>
          <w:szCs w:val="26"/>
        </w:rPr>
        <w:t>323</w:t>
      </w:r>
      <w:r w:rsidR="000633D1">
        <w:rPr>
          <w:color w:val="auto"/>
          <w:sz w:val="26"/>
          <w:szCs w:val="26"/>
        </w:rPr>
        <w:t> 884,2</w:t>
      </w:r>
      <w:r w:rsidRPr="00181978">
        <w:rPr>
          <w:color w:val="auto"/>
          <w:sz w:val="26"/>
          <w:szCs w:val="26"/>
        </w:rPr>
        <w:t xml:space="preserve"> тыс. рублей </w:t>
      </w:r>
      <w:r w:rsidR="00883528">
        <w:rPr>
          <w:color w:val="auto"/>
          <w:sz w:val="26"/>
          <w:szCs w:val="26"/>
        </w:rPr>
        <w:t xml:space="preserve">- </w:t>
      </w:r>
      <w:r w:rsidRPr="00181978">
        <w:rPr>
          <w:color w:val="auto"/>
          <w:sz w:val="26"/>
          <w:szCs w:val="26"/>
        </w:rPr>
        <w:t xml:space="preserve">средства бюджета Ханты-Мансийского автономного округа </w:t>
      </w:r>
      <w:r>
        <w:rPr>
          <w:color w:val="auto"/>
          <w:sz w:val="26"/>
          <w:szCs w:val="26"/>
        </w:rPr>
        <w:t>–</w:t>
      </w:r>
      <w:r w:rsidRPr="00181978">
        <w:rPr>
          <w:color w:val="auto"/>
          <w:sz w:val="26"/>
          <w:szCs w:val="26"/>
        </w:rPr>
        <w:t xml:space="preserve"> Югры</w:t>
      </w:r>
      <w:r>
        <w:rPr>
          <w:color w:val="auto"/>
          <w:sz w:val="26"/>
          <w:szCs w:val="26"/>
        </w:rPr>
        <w:t>;</w:t>
      </w:r>
    </w:p>
    <w:p w:rsidR="00E43B86" w:rsidRDefault="00E43B86" w:rsidP="00D1033F">
      <w:pPr>
        <w:pStyle w:val="Default"/>
        <w:ind w:firstLine="709"/>
        <w:jc w:val="both"/>
        <w:rPr>
          <w:color w:val="auto"/>
          <w:sz w:val="26"/>
          <w:szCs w:val="26"/>
        </w:rPr>
      </w:pPr>
      <w:r>
        <w:rPr>
          <w:color w:val="auto"/>
          <w:sz w:val="26"/>
          <w:szCs w:val="26"/>
        </w:rPr>
        <w:t xml:space="preserve">- </w:t>
      </w:r>
      <w:r w:rsidRPr="00181978">
        <w:rPr>
          <w:color w:val="auto"/>
          <w:sz w:val="26"/>
          <w:szCs w:val="26"/>
        </w:rPr>
        <w:t>196</w:t>
      </w:r>
      <w:r w:rsidR="000633D1">
        <w:rPr>
          <w:color w:val="auto"/>
          <w:sz w:val="26"/>
          <w:szCs w:val="26"/>
        </w:rPr>
        <w:t> 460,2</w:t>
      </w:r>
      <w:r w:rsidRPr="00181978">
        <w:rPr>
          <w:color w:val="auto"/>
          <w:sz w:val="26"/>
          <w:szCs w:val="26"/>
        </w:rPr>
        <w:t xml:space="preserve"> тыс. рублей </w:t>
      </w:r>
      <w:r w:rsidR="00883528">
        <w:rPr>
          <w:color w:val="auto"/>
          <w:sz w:val="26"/>
          <w:szCs w:val="26"/>
        </w:rPr>
        <w:t xml:space="preserve">-  </w:t>
      </w:r>
      <w:r w:rsidRPr="00181978">
        <w:rPr>
          <w:color w:val="auto"/>
          <w:sz w:val="26"/>
          <w:szCs w:val="26"/>
        </w:rPr>
        <w:t>средства бюджета города Когалыма</w:t>
      </w:r>
      <w:r>
        <w:rPr>
          <w:color w:val="auto"/>
          <w:sz w:val="26"/>
          <w:szCs w:val="26"/>
        </w:rPr>
        <w:t>;</w:t>
      </w:r>
    </w:p>
    <w:p w:rsidR="00E43B86" w:rsidRDefault="00E43B86" w:rsidP="00D1033F">
      <w:pPr>
        <w:pStyle w:val="Default"/>
        <w:ind w:firstLine="709"/>
        <w:jc w:val="both"/>
        <w:rPr>
          <w:color w:val="auto"/>
          <w:sz w:val="26"/>
          <w:szCs w:val="26"/>
        </w:rPr>
      </w:pPr>
      <w:r>
        <w:rPr>
          <w:color w:val="auto"/>
          <w:sz w:val="26"/>
          <w:szCs w:val="26"/>
        </w:rPr>
        <w:t>-</w:t>
      </w:r>
      <w:r w:rsidRPr="00181978">
        <w:rPr>
          <w:color w:val="auto"/>
          <w:sz w:val="26"/>
          <w:szCs w:val="26"/>
        </w:rPr>
        <w:t xml:space="preserve"> 275 538,1 тыс. рублей </w:t>
      </w:r>
      <w:r w:rsidR="00883528">
        <w:rPr>
          <w:color w:val="auto"/>
          <w:sz w:val="26"/>
          <w:szCs w:val="26"/>
        </w:rPr>
        <w:t xml:space="preserve">- </w:t>
      </w:r>
      <w:r w:rsidRPr="00181978">
        <w:rPr>
          <w:color w:val="auto"/>
          <w:sz w:val="26"/>
          <w:szCs w:val="26"/>
        </w:rPr>
        <w:t>средства внебюджетных источников, в том числе средства по Соглашению о сотрудничестве между Правительством ХМАО</w:t>
      </w:r>
      <w:r w:rsidR="00F75609">
        <w:rPr>
          <w:color w:val="auto"/>
          <w:sz w:val="26"/>
          <w:szCs w:val="26"/>
        </w:rPr>
        <w:t xml:space="preserve"> </w:t>
      </w:r>
      <w:r w:rsidRPr="00181978">
        <w:rPr>
          <w:color w:val="auto"/>
          <w:sz w:val="26"/>
          <w:szCs w:val="26"/>
        </w:rPr>
        <w:t>-</w:t>
      </w:r>
      <w:r w:rsidR="00F75609">
        <w:rPr>
          <w:color w:val="auto"/>
          <w:sz w:val="26"/>
          <w:szCs w:val="26"/>
        </w:rPr>
        <w:t xml:space="preserve"> </w:t>
      </w:r>
      <w:r w:rsidRPr="00181978">
        <w:rPr>
          <w:color w:val="auto"/>
          <w:sz w:val="26"/>
          <w:szCs w:val="26"/>
        </w:rPr>
        <w:t>Югры и ПАО «НК</w:t>
      </w:r>
      <w:r>
        <w:rPr>
          <w:color w:val="auto"/>
          <w:sz w:val="26"/>
          <w:szCs w:val="26"/>
        </w:rPr>
        <w:t xml:space="preserve"> </w:t>
      </w:r>
      <w:r w:rsidRPr="00181978">
        <w:rPr>
          <w:color w:val="auto"/>
          <w:sz w:val="26"/>
          <w:szCs w:val="26"/>
        </w:rPr>
        <w:t>«ЛУКОЙЛ».</w:t>
      </w:r>
    </w:p>
    <w:p w:rsidR="00E43B86" w:rsidRDefault="00F75609" w:rsidP="00366335">
      <w:pPr>
        <w:pStyle w:val="ConsPlusNormal"/>
        <w:ind w:firstLine="540"/>
        <w:jc w:val="both"/>
        <w:rPr>
          <w:rFonts w:ascii="Times New Roman" w:hAnsi="Times New Roman"/>
          <w:sz w:val="26"/>
          <w:szCs w:val="26"/>
        </w:rPr>
      </w:pPr>
      <w:r>
        <w:rPr>
          <w:rFonts w:ascii="Times New Roman" w:hAnsi="Times New Roman"/>
          <w:bCs/>
          <w:sz w:val="26"/>
          <w:szCs w:val="26"/>
        </w:rPr>
        <w:t>В 2015 году фактически было освоено</w:t>
      </w:r>
      <w:r w:rsidR="00FC5A70" w:rsidRPr="00181978">
        <w:rPr>
          <w:rFonts w:ascii="Times New Roman" w:hAnsi="Times New Roman"/>
          <w:bCs/>
          <w:sz w:val="26"/>
          <w:szCs w:val="26"/>
        </w:rPr>
        <w:t xml:space="preserve"> </w:t>
      </w:r>
      <w:r w:rsidR="000633D1">
        <w:rPr>
          <w:rFonts w:ascii="Times New Roman" w:hAnsi="Times New Roman"/>
          <w:b/>
          <w:bCs/>
          <w:sz w:val="26"/>
          <w:szCs w:val="26"/>
        </w:rPr>
        <w:t>722 331,5</w:t>
      </w:r>
      <w:r w:rsidR="00FC5A70" w:rsidRPr="00CE0CC7">
        <w:rPr>
          <w:rFonts w:ascii="Times New Roman" w:hAnsi="Times New Roman"/>
          <w:b/>
          <w:sz w:val="26"/>
          <w:szCs w:val="26"/>
        </w:rPr>
        <w:t xml:space="preserve"> тыс. рублей</w:t>
      </w:r>
      <w:r w:rsidR="005143B6" w:rsidRPr="00366335">
        <w:rPr>
          <w:rFonts w:ascii="Times New Roman" w:hAnsi="Times New Roman"/>
          <w:sz w:val="26"/>
          <w:szCs w:val="26"/>
        </w:rPr>
        <w:t xml:space="preserve">, что составило </w:t>
      </w:r>
      <w:r w:rsidR="000633D1">
        <w:rPr>
          <w:rFonts w:ascii="Times New Roman" w:hAnsi="Times New Roman"/>
          <w:sz w:val="26"/>
          <w:szCs w:val="26"/>
        </w:rPr>
        <w:t>90,2</w:t>
      </w:r>
      <w:r w:rsidR="005143B6" w:rsidRPr="00366335">
        <w:rPr>
          <w:rFonts w:ascii="Times New Roman" w:hAnsi="Times New Roman"/>
          <w:sz w:val="26"/>
          <w:szCs w:val="26"/>
        </w:rPr>
        <w:t>%</w:t>
      </w:r>
      <w:r w:rsidR="005143B6" w:rsidRPr="00366335">
        <w:rPr>
          <w:rFonts w:ascii="Times New Roman" w:hAnsi="Times New Roman"/>
          <w:b/>
          <w:sz w:val="26"/>
          <w:szCs w:val="26"/>
        </w:rPr>
        <w:t xml:space="preserve"> </w:t>
      </w:r>
      <w:r w:rsidR="00E43B86">
        <w:rPr>
          <w:rFonts w:ascii="Times New Roman" w:hAnsi="Times New Roman"/>
          <w:sz w:val="26"/>
          <w:szCs w:val="26"/>
        </w:rPr>
        <w:t xml:space="preserve">к плану на год, </w:t>
      </w:r>
      <w:r w:rsidR="00FC5A70" w:rsidRPr="00181978">
        <w:rPr>
          <w:rFonts w:ascii="Times New Roman" w:hAnsi="Times New Roman"/>
          <w:sz w:val="26"/>
          <w:szCs w:val="26"/>
        </w:rPr>
        <w:t>из них</w:t>
      </w:r>
      <w:r w:rsidR="00E43B86">
        <w:rPr>
          <w:rFonts w:ascii="Times New Roman" w:hAnsi="Times New Roman"/>
          <w:sz w:val="26"/>
          <w:szCs w:val="26"/>
        </w:rPr>
        <w:t>:</w:t>
      </w:r>
    </w:p>
    <w:p w:rsidR="00E43B86" w:rsidRDefault="00E43B86" w:rsidP="00366335">
      <w:pPr>
        <w:pStyle w:val="ConsPlusNormal"/>
        <w:ind w:firstLine="540"/>
        <w:jc w:val="both"/>
        <w:rPr>
          <w:rFonts w:ascii="Times New Roman" w:hAnsi="Times New Roman"/>
          <w:sz w:val="26"/>
          <w:szCs w:val="26"/>
        </w:rPr>
      </w:pPr>
      <w:r>
        <w:rPr>
          <w:rFonts w:ascii="Times New Roman" w:hAnsi="Times New Roman"/>
          <w:sz w:val="26"/>
          <w:szCs w:val="26"/>
        </w:rPr>
        <w:t xml:space="preserve">- </w:t>
      </w:r>
      <w:r w:rsidRPr="00181978">
        <w:rPr>
          <w:rFonts w:ascii="Times New Roman" w:hAnsi="Times New Roman"/>
          <w:sz w:val="26"/>
          <w:szCs w:val="26"/>
        </w:rPr>
        <w:t xml:space="preserve">4 861,9 тыс. рублей </w:t>
      </w:r>
      <w:r w:rsidR="00883528">
        <w:rPr>
          <w:rFonts w:ascii="Times New Roman" w:hAnsi="Times New Roman"/>
          <w:sz w:val="26"/>
          <w:szCs w:val="26"/>
        </w:rPr>
        <w:t xml:space="preserve">- </w:t>
      </w:r>
      <w:r w:rsidRPr="00181978">
        <w:rPr>
          <w:rFonts w:ascii="Times New Roman" w:hAnsi="Times New Roman"/>
          <w:sz w:val="26"/>
          <w:szCs w:val="26"/>
        </w:rPr>
        <w:t>средств федерального бюджета</w:t>
      </w:r>
      <w:r>
        <w:rPr>
          <w:rFonts w:ascii="Times New Roman" w:hAnsi="Times New Roman"/>
          <w:sz w:val="26"/>
          <w:szCs w:val="26"/>
        </w:rPr>
        <w:t>;</w:t>
      </w:r>
    </w:p>
    <w:p w:rsidR="00E43B86" w:rsidRDefault="00E43B86" w:rsidP="00366335">
      <w:pPr>
        <w:pStyle w:val="ConsPlusNormal"/>
        <w:ind w:firstLine="540"/>
        <w:jc w:val="both"/>
        <w:rPr>
          <w:rFonts w:ascii="Times New Roman" w:hAnsi="Times New Roman"/>
          <w:sz w:val="26"/>
          <w:szCs w:val="26"/>
        </w:rPr>
      </w:pPr>
      <w:r>
        <w:rPr>
          <w:rFonts w:ascii="Times New Roman" w:hAnsi="Times New Roman"/>
          <w:sz w:val="26"/>
          <w:szCs w:val="26"/>
        </w:rPr>
        <w:t xml:space="preserve">- </w:t>
      </w:r>
      <w:r w:rsidR="00BC4D38">
        <w:rPr>
          <w:rFonts w:ascii="Times New Roman" w:hAnsi="Times New Roman"/>
          <w:sz w:val="26"/>
          <w:szCs w:val="26"/>
        </w:rPr>
        <w:t>298 500,6</w:t>
      </w:r>
      <w:r w:rsidRPr="00181978">
        <w:rPr>
          <w:rFonts w:ascii="Times New Roman" w:hAnsi="Times New Roman"/>
          <w:sz w:val="26"/>
          <w:szCs w:val="26"/>
        </w:rPr>
        <w:t xml:space="preserve"> тыс. рублей </w:t>
      </w:r>
      <w:r w:rsidR="00883528">
        <w:rPr>
          <w:rFonts w:ascii="Times New Roman" w:hAnsi="Times New Roman"/>
          <w:sz w:val="26"/>
          <w:szCs w:val="26"/>
        </w:rPr>
        <w:t xml:space="preserve">- </w:t>
      </w:r>
      <w:r w:rsidRPr="00181978">
        <w:rPr>
          <w:rFonts w:ascii="Times New Roman" w:hAnsi="Times New Roman"/>
          <w:sz w:val="26"/>
          <w:szCs w:val="26"/>
        </w:rPr>
        <w:t xml:space="preserve">средства бюджета Ханты-Мансийского автономного округа </w:t>
      </w:r>
      <w:r>
        <w:rPr>
          <w:rFonts w:ascii="Times New Roman" w:hAnsi="Times New Roman"/>
          <w:sz w:val="26"/>
          <w:szCs w:val="26"/>
        </w:rPr>
        <w:t>–</w:t>
      </w:r>
      <w:r w:rsidRPr="00181978">
        <w:rPr>
          <w:rFonts w:ascii="Times New Roman" w:hAnsi="Times New Roman"/>
          <w:sz w:val="26"/>
          <w:szCs w:val="26"/>
        </w:rPr>
        <w:t xml:space="preserve"> Югры</w:t>
      </w:r>
      <w:r>
        <w:rPr>
          <w:rFonts w:ascii="Times New Roman" w:hAnsi="Times New Roman"/>
          <w:sz w:val="26"/>
          <w:szCs w:val="26"/>
        </w:rPr>
        <w:t>;</w:t>
      </w:r>
    </w:p>
    <w:p w:rsidR="00E43B86" w:rsidRDefault="00E43B86" w:rsidP="00366335">
      <w:pPr>
        <w:pStyle w:val="ConsPlusNormal"/>
        <w:ind w:firstLine="540"/>
        <w:jc w:val="both"/>
        <w:rPr>
          <w:rFonts w:ascii="Times New Roman" w:hAnsi="Times New Roman"/>
          <w:sz w:val="26"/>
          <w:szCs w:val="26"/>
        </w:rPr>
      </w:pPr>
      <w:r>
        <w:rPr>
          <w:rFonts w:ascii="Times New Roman" w:hAnsi="Times New Roman"/>
          <w:sz w:val="26"/>
          <w:szCs w:val="26"/>
        </w:rPr>
        <w:t>-</w:t>
      </w:r>
      <w:r w:rsidR="00FC5A70" w:rsidRPr="00181978">
        <w:rPr>
          <w:rFonts w:ascii="Times New Roman" w:hAnsi="Times New Roman"/>
          <w:sz w:val="26"/>
          <w:szCs w:val="26"/>
        </w:rPr>
        <w:t xml:space="preserve"> </w:t>
      </w:r>
      <w:r w:rsidR="00BC4D38">
        <w:rPr>
          <w:rFonts w:ascii="Times New Roman" w:hAnsi="Times New Roman"/>
          <w:sz w:val="26"/>
          <w:szCs w:val="26"/>
        </w:rPr>
        <w:t>141 287,4</w:t>
      </w:r>
      <w:r w:rsidR="00FC5A70" w:rsidRPr="00181978">
        <w:rPr>
          <w:rFonts w:ascii="Times New Roman" w:hAnsi="Times New Roman"/>
          <w:sz w:val="26"/>
          <w:szCs w:val="26"/>
        </w:rPr>
        <w:t xml:space="preserve"> тыс. рублей</w:t>
      </w:r>
      <w:r>
        <w:rPr>
          <w:rFonts w:ascii="Times New Roman" w:hAnsi="Times New Roman"/>
          <w:sz w:val="26"/>
          <w:szCs w:val="26"/>
        </w:rPr>
        <w:t xml:space="preserve"> - </w:t>
      </w:r>
      <w:r w:rsidR="00FC5A70" w:rsidRPr="00181978">
        <w:rPr>
          <w:rFonts w:ascii="Times New Roman" w:hAnsi="Times New Roman"/>
          <w:sz w:val="26"/>
          <w:szCs w:val="26"/>
        </w:rPr>
        <w:t>ср</w:t>
      </w:r>
      <w:r>
        <w:rPr>
          <w:rFonts w:ascii="Times New Roman" w:hAnsi="Times New Roman"/>
          <w:sz w:val="26"/>
          <w:szCs w:val="26"/>
        </w:rPr>
        <w:t>едства бюджета города Когалыма;</w:t>
      </w:r>
    </w:p>
    <w:p w:rsidR="00366335" w:rsidRDefault="00E43B86" w:rsidP="00366335">
      <w:pPr>
        <w:pStyle w:val="ConsPlusNormal"/>
        <w:ind w:firstLine="540"/>
        <w:jc w:val="both"/>
        <w:rPr>
          <w:rFonts w:ascii="Times New Roman" w:hAnsi="Times New Roman"/>
          <w:sz w:val="26"/>
          <w:szCs w:val="26"/>
        </w:rPr>
      </w:pPr>
      <w:r>
        <w:rPr>
          <w:rFonts w:ascii="Times New Roman" w:hAnsi="Times New Roman"/>
          <w:sz w:val="26"/>
          <w:szCs w:val="26"/>
        </w:rPr>
        <w:t xml:space="preserve">- </w:t>
      </w:r>
      <w:r w:rsidR="00BC4D38">
        <w:rPr>
          <w:rFonts w:ascii="Times New Roman" w:hAnsi="Times New Roman"/>
          <w:sz w:val="26"/>
          <w:szCs w:val="26"/>
        </w:rPr>
        <w:t>277 681,6</w:t>
      </w:r>
      <w:r w:rsidR="00FC5A70" w:rsidRPr="00181978">
        <w:rPr>
          <w:rFonts w:ascii="Times New Roman" w:hAnsi="Times New Roman"/>
          <w:sz w:val="26"/>
          <w:szCs w:val="26"/>
        </w:rPr>
        <w:t xml:space="preserve"> тыс. рублей </w:t>
      </w:r>
      <w:r w:rsidR="00883528">
        <w:rPr>
          <w:rFonts w:ascii="Times New Roman" w:hAnsi="Times New Roman"/>
          <w:sz w:val="26"/>
          <w:szCs w:val="26"/>
        </w:rPr>
        <w:t xml:space="preserve">- </w:t>
      </w:r>
      <w:r w:rsidR="00FC5A70" w:rsidRPr="00181978">
        <w:rPr>
          <w:rFonts w:ascii="Times New Roman" w:hAnsi="Times New Roman"/>
          <w:sz w:val="26"/>
          <w:szCs w:val="26"/>
        </w:rPr>
        <w:t>средства внебюджетных источников, в том числе средства по Соглашению.</w:t>
      </w:r>
    </w:p>
    <w:p w:rsidR="00983357" w:rsidRDefault="00983357" w:rsidP="0011090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r w:rsidRPr="00622C01">
        <w:rPr>
          <w:rFonts w:ascii="Times New Roman" w:eastAsia="Times New Roman" w:hAnsi="Times New Roman" w:cs="Times New Roman"/>
          <w:b/>
          <w:sz w:val="26"/>
          <w:szCs w:val="26"/>
          <w:lang w:eastAsia="ru-RU"/>
        </w:rPr>
        <w:lastRenderedPageBreak/>
        <w:t xml:space="preserve">Информация </w:t>
      </w:r>
      <w:r w:rsidR="00110907" w:rsidRPr="00622C01">
        <w:rPr>
          <w:rFonts w:ascii="Times New Roman" w:eastAsia="Times New Roman" w:hAnsi="Times New Roman" w:cs="Times New Roman"/>
          <w:b/>
          <w:sz w:val="26"/>
          <w:szCs w:val="26"/>
          <w:lang w:eastAsia="ru-RU"/>
        </w:rPr>
        <w:t>о ходе реализации мероприятий</w:t>
      </w:r>
    </w:p>
    <w:p w:rsidR="00FB27DF" w:rsidRDefault="00FB27DF" w:rsidP="00FB27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Из 70 мероприятий предусмотренных Планом мероприятий в 2015 году реализовывалось 67 мероприятий (3 мероприятия предусмотрены к реализации в 2016-2019 годах). Из них</w:t>
      </w:r>
      <w:r w:rsidR="0069035D">
        <w:rPr>
          <w:rFonts w:ascii="Times New Roman" w:eastAsia="Times New Roman" w:hAnsi="Times New Roman" w:cs="Times New Roman"/>
          <w:sz w:val="26"/>
          <w:szCs w:val="26"/>
          <w:lang w:eastAsia="ru-RU"/>
        </w:rPr>
        <w:t>:</w:t>
      </w:r>
    </w:p>
    <w:p w:rsidR="0069035D" w:rsidRDefault="002D2300" w:rsidP="00FB27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2</w:t>
      </w:r>
      <w:r w:rsidR="00947C60">
        <w:rPr>
          <w:rFonts w:ascii="Times New Roman" w:eastAsia="Times New Roman" w:hAnsi="Times New Roman" w:cs="Times New Roman"/>
          <w:b/>
          <w:sz w:val="26"/>
          <w:szCs w:val="26"/>
          <w:lang w:eastAsia="ru-RU"/>
        </w:rPr>
        <w:t>1</w:t>
      </w:r>
      <w:r w:rsidR="0069035D" w:rsidRPr="0069035D">
        <w:rPr>
          <w:rFonts w:ascii="Times New Roman" w:eastAsia="Times New Roman" w:hAnsi="Times New Roman" w:cs="Times New Roman"/>
          <w:b/>
          <w:sz w:val="26"/>
          <w:szCs w:val="26"/>
          <w:lang w:eastAsia="ru-RU"/>
        </w:rPr>
        <w:t xml:space="preserve"> мероприяти</w:t>
      </w:r>
      <w:r w:rsidR="00947C60">
        <w:rPr>
          <w:rFonts w:ascii="Times New Roman" w:eastAsia="Times New Roman" w:hAnsi="Times New Roman" w:cs="Times New Roman"/>
          <w:b/>
          <w:sz w:val="26"/>
          <w:szCs w:val="26"/>
          <w:lang w:eastAsia="ru-RU"/>
        </w:rPr>
        <w:t>е</w:t>
      </w:r>
      <w:r w:rsidR="00947C60">
        <w:rPr>
          <w:rFonts w:ascii="Times New Roman" w:eastAsia="Times New Roman" w:hAnsi="Times New Roman" w:cs="Times New Roman"/>
          <w:sz w:val="26"/>
          <w:szCs w:val="26"/>
          <w:lang w:eastAsia="ru-RU"/>
        </w:rPr>
        <w:t xml:space="preserve"> исполнено</w:t>
      </w:r>
      <w:r w:rsidR="0069035D">
        <w:rPr>
          <w:rFonts w:ascii="Times New Roman" w:eastAsia="Times New Roman" w:hAnsi="Times New Roman" w:cs="Times New Roman"/>
          <w:sz w:val="26"/>
          <w:szCs w:val="26"/>
          <w:lang w:eastAsia="ru-RU"/>
        </w:rPr>
        <w:t xml:space="preserve"> на </w:t>
      </w:r>
      <w:r w:rsidR="0069035D" w:rsidRPr="0069035D">
        <w:rPr>
          <w:rFonts w:ascii="Times New Roman" w:eastAsia="Times New Roman" w:hAnsi="Times New Roman" w:cs="Times New Roman"/>
          <w:b/>
          <w:sz w:val="26"/>
          <w:szCs w:val="26"/>
          <w:lang w:eastAsia="ru-RU"/>
        </w:rPr>
        <w:t>100% и выше</w:t>
      </w:r>
      <w:r w:rsidR="0069035D">
        <w:rPr>
          <w:rFonts w:ascii="Times New Roman" w:eastAsia="Times New Roman" w:hAnsi="Times New Roman" w:cs="Times New Roman"/>
          <w:sz w:val="26"/>
          <w:szCs w:val="26"/>
          <w:lang w:eastAsia="ru-RU"/>
        </w:rPr>
        <w:t>;</w:t>
      </w:r>
    </w:p>
    <w:p w:rsidR="0069035D" w:rsidRDefault="0069035D" w:rsidP="00FB27DF">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p>
    <w:p w:rsidR="0069035D" w:rsidRPr="002D2300" w:rsidRDefault="0069035D" w:rsidP="00FB27D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9035D">
        <w:rPr>
          <w:rFonts w:ascii="Times New Roman" w:eastAsia="Times New Roman" w:hAnsi="Times New Roman" w:cs="Times New Roman"/>
          <w:b/>
          <w:sz w:val="26"/>
          <w:szCs w:val="26"/>
          <w:lang w:eastAsia="ru-RU"/>
        </w:rPr>
        <w:t>15 мероприятий</w:t>
      </w:r>
      <w:r>
        <w:rPr>
          <w:rFonts w:ascii="Times New Roman" w:eastAsia="Times New Roman" w:hAnsi="Times New Roman" w:cs="Times New Roman"/>
          <w:sz w:val="26"/>
          <w:szCs w:val="26"/>
          <w:lang w:eastAsia="ru-RU"/>
        </w:rPr>
        <w:t xml:space="preserve"> исполнены </w:t>
      </w:r>
      <w:r w:rsidRPr="0069035D">
        <w:rPr>
          <w:rFonts w:ascii="Times New Roman" w:eastAsia="Times New Roman" w:hAnsi="Times New Roman" w:cs="Times New Roman"/>
          <w:b/>
          <w:sz w:val="26"/>
          <w:szCs w:val="26"/>
          <w:lang w:eastAsia="ru-RU"/>
        </w:rPr>
        <w:t>от 70% до 100%</w:t>
      </w:r>
      <w:r w:rsidR="00655BE3">
        <w:rPr>
          <w:rFonts w:ascii="Times New Roman" w:eastAsia="Times New Roman" w:hAnsi="Times New Roman" w:cs="Times New Roman"/>
          <w:b/>
          <w:sz w:val="26"/>
          <w:szCs w:val="26"/>
          <w:lang w:eastAsia="ru-RU"/>
        </w:rPr>
        <w:t xml:space="preserve"> </w:t>
      </w:r>
      <w:r w:rsidR="00655BE3" w:rsidRPr="002D2300">
        <w:rPr>
          <w:rFonts w:ascii="Times New Roman" w:eastAsia="Times New Roman" w:hAnsi="Times New Roman" w:cs="Times New Roman"/>
          <w:sz w:val="26"/>
          <w:szCs w:val="26"/>
          <w:lang w:eastAsia="ru-RU"/>
        </w:rPr>
        <w:t>(нумерация приведена в соответствии с Планом мероприятий)</w:t>
      </w:r>
      <w:r w:rsidRPr="002D2300">
        <w:rPr>
          <w:rFonts w:ascii="Times New Roman" w:eastAsia="Times New Roman" w:hAnsi="Times New Roman" w:cs="Times New Roman"/>
          <w:b/>
          <w:sz w:val="26"/>
          <w:szCs w:val="26"/>
          <w:lang w:eastAsia="ru-RU"/>
        </w:rPr>
        <w:t>:</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 Предоставление субсидии на реализацию продукции животноводства, компенсация затрат по аренде торговых мест на городском рынке. Исполнение составило 86,7% к плану. Предоставление субсидии носит заявительный характер и рассчитывается в соответствии с предоставленными заявителями отчетными документами.</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4.3. Предоставление информационной, консультационной поддержки субъектам малого и среднего предпринимательства.</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Исполнение составило 99,8%. Муниципальный контракт на</w:t>
      </w:r>
      <w:r w:rsidR="00655BE3">
        <w:rPr>
          <w:rFonts w:ascii="Times New Roman" w:eastAsia="Times New Roman" w:hAnsi="Times New Roman" w:cs="Times New Roman"/>
          <w:sz w:val="26"/>
          <w:szCs w:val="26"/>
          <w:lang w:eastAsia="ru-RU"/>
        </w:rPr>
        <w:t xml:space="preserve"> оказание услуг </w:t>
      </w:r>
      <w:r w:rsidR="00655BE3" w:rsidRPr="00655BE3">
        <w:rPr>
          <w:rFonts w:ascii="Times New Roman" w:eastAsia="Times New Roman" w:hAnsi="Times New Roman" w:cs="Times New Roman"/>
          <w:sz w:val="26"/>
          <w:szCs w:val="26"/>
          <w:lang w:eastAsia="ru-RU"/>
        </w:rPr>
        <w:t>по размещению информационного материала - трансляция объявлений посредством «бегущей строки»</w:t>
      </w:r>
      <w:r>
        <w:rPr>
          <w:rFonts w:ascii="Times New Roman" w:eastAsia="Times New Roman" w:hAnsi="Times New Roman" w:cs="Times New Roman"/>
          <w:sz w:val="26"/>
          <w:szCs w:val="26"/>
          <w:lang w:eastAsia="ru-RU"/>
        </w:rPr>
        <w:t xml:space="preserve"> был заключен на меньшую сумму.</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4.4. Проведение образовательных мероприятий для субъектов малого и среднего предпринимательства.</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Исполнение составило 71,8%. Образовалась экономия средств бюджета Ханты-Мансийского автономного округа – Югры в результате проведения электронного аукциона. Проведено 6 семинаров. Всего посетило семинары 69 слушателей.</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8.2. Приобретение жилых помещений в завершенных строительством домах-новостройках или многоквартирных домах, строительство которых не завершено, путем проведения торгов.</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Исполнение составило 89,7%. Неисполнение бюджетных обязательств связано с приобретением 21 жилого помещения путем участия в долевом строительстве со сроком исполнения обязательств застройщиком до 31.12.2016.</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11.2. Организация проведения оплачиваемых общественных работ для не занятых трудовой деятельностью и безработных граждан.</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Исполнение составило 99,5%. Неполное освоение связано с досрочным расторжением трудовых договоров по инициативе работников.</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13.1. Развитие системы выявления, поддержки, сопровождения и стимулирования одаренных детей в различных сферах деятельности.</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Исполнение составило </w:t>
      </w:r>
      <w:r w:rsidR="00AA2FAD">
        <w:rPr>
          <w:rFonts w:ascii="Times New Roman" w:eastAsia="Times New Roman" w:hAnsi="Times New Roman" w:cs="Times New Roman"/>
          <w:sz w:val="26"/>
          <w:szCs w:val="26"/>
          <w:lang w:eastAsia="ru-RU"/>
        </w:rPr>
        <w:t>90,6</w:t>
      </w:r>
      <w:r>
        <w:rPr>
          <w:rFonts w:ascii="Times New Roman" w:eastAsia="Times New Roman" w:hAnsi="Times New Roman" w:cs="Times New Roman"/>
          <w:sz w:val="26"/>
          <w:szCs w:val="26"/>
          <w:lang w:eastAsia="ru-RU"/>
        </w:rPr>
        <w:t>%. Экономия сложилась в связи с тем, что плановые ассигнования выделяются согласно заявкам учреждений на оплату расходов по выезду на олимпиады и проведение мероприятий.</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14.1. Финансирование деятельности муниципального автономного учреждения «Межшкольный мето</w:t>
      </w:r>
      <w:r w:rsidR="00AA2FAD">
        <w:rPr>
          <w:rFonts w:ascii="Times New Roman" w:eastAsia="Times New Roman" w:hAnsi="Times New Roman" w:cs="Times New Roman"/>
          <w:sz w:val="26"/>
          <w:szCs w:val="26"/>
          <w:lang w:eastAsia="ru-RU"/>
        </w:rPr>
        <w:t>дический центр города Когалыма» (далее – МАУ «ММЦ).</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Исполнение составило 86,5%. Экономия сложилась в связи с невозможностью завершения ремонтных работ кровли здания </w:t>
      </w:r>
      <w:r w:rsidR="00AA2FAD">
        <w:rPr>
          <w:rFonts w:ascii="Times New Roman" w:eastAsia="Times New Roman" w:hAnsi="Times New Roman" w:cs="Times New Roman"/>
          <w:sz w:val="26"/>
          <w:szCs w:val="26"/>
          <w:lang w:eastAsia="ru-RU"/>
        </w:rPr>
        <w:t xml:space="preserve">МАУ «ММЦ» </w:t>
      </w:r>
      <w:r>
        <w:rPr>
          <w:rFonts w:ascii="Times New Roman" w:eastAsia="Times New Roman" w:hAnsi="Times New Roman" w:cs="Times New Roman"/>
          <w:sz w:val="26"/>
          <w:szCs w:val="26"/>
          <w:lang w:eastAsia="ru-RU"/>
        </w:rPr>
        <w:t>в связи с погодными условиями, также экономия сложилась по оплате льготного проезда</w:t>
      </w:r>
      <w:r w:rsidR="00AA2FAD">
        <w:rPr>
          <w:rFonts w:ascii="Times New Roman" w:eastAsia="Times New Roman" w:hAnsi="Times New Roman" w:cs="Times New Roman"/>
          <w:sz w:val="26"/>
          <w:szCs w:val="26"/>
          <w:lang w:eastAsia="ru-RU"/>
        </w:rPr>
        <w:t xml:space="preserve"> сотрудников</w:t>
      </w:r>
      <w:r>
        <w:rPr>
          <w:rFonts w:ascii="Times New Roman" w:eastAsia="Times New Roman" w:hAnsi="Times New Roman" w:cs="Times New Roman"/>
          <w:sz w:val="26"/>
          <w:szCs w:val="26"/>
          <w:lang w:eastAsia="ru-RU"/>
        </w:rPr>
        <w:t>.</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15.1. Организация мероприятий по духовно-нравственному развитию и формированию гражданско-патриотических качеств молодежи.</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Исполнение составило 98,7%. Экономия сложилась по расходам на организацию мероприятий.</w:t>
      </w:r>
    </w:p>
    <w:p w:rsidR="0042501C" w:rsidRDefault="0042501C"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2501C">
        <w:rPr>
          <w:rFonts w:ascii="Times New Roman" w:eastAsia="Times New Roman" w:hAnsi="Times New Roman" w:cs="Times New Roman"/>
          <w:sz w:val="26"/>
          <w:szCs w:val="26"/>
          <w:lang w:eastAsia="ru-RU"/>
        </w:rPr>
        <w:t xml:space="preserve">В 2015 году были организованы выездные сборы, приобретены оборудование и сценические костюмы для проведения мероприятий, посвященных юбилейным и другим памятным датам истории России. Также был организован и проведен городской фестиваль семейного творчества, спортивная программа </w:t>
      </w:r>
      <w:r>
        <w:rPr>
          <w:rFonts w:ascii="Times New Roman" w:eastAsia="Times New Roman" w:hAnsi="Times New Roman" w:cs="Times New Roman"/>
          <w:sz w:val="26"/>
          <w:szCs w:val="26"/>
          <w:lang w:eastAsia="ru-RU"/>
        </w:rPr>
        <w:t>«</w:t>
      </w:r>
      <w:r w:rsidRPr="0042501C">
        <w:rPr>
          <w:rFonts w:ascii="Times New Roman" w:eastAsia="Times New Roman" w:hAnsi="Times New Roman" w:cs="Times New Roman"/>
          <w:sz w:val="26"/>
          <w:szCs w:val="26"/>
          <w:lang w:eastAsia="ru-RU"/>
        </w:rPr>
        <w:t>Молодёжь во славу Победы</w:t>
      </w:r>
      <w:r>
        <w:rPr>
          <w:rFonts w:ascii="Times New Roman" w:eastAsia="Times New Roman" w:hAnsi="Times New Roman" w:cs="Times New Roman"/>
          <w:sz w:val="26"/>
          <w:szCs w:val="26"/>
          <w:lang w:eastAsia="ru-RU"/>
        </w:rPr>
        <w:t>»</w:t>
      </w:r>
      <w:r w:rsidRPr="0042501C">
        <w:rPr>
          <w:rFonts w:ascii="Times New Roman" w:eastAsia="Times New Roman" w:hAnsi="Times New Roman" w:cs="Times New Roman"/>
          <w:sz w:val="26"/>
          <w:szCs w:val="26"/>
          <w:lang w:eastAsia="ru-RU"/>
        </w:rPr>
        <w:t xml:space="preserve"> посвященная празднованию 70-летию Дня Победы, организовано волонтёрско</w:t>
      </w:r>
      <w:r w:rsidR="00DA3227">
        <w:rPr>
          <w:rFonts w:ascii="Times New Roman" w:eastAsia="Times New Roman" w:hAnsi="Times New Roman" w:cs="Times New Roman"/>
          <w:sz w:val="26"/>
          <w:szCs w:val="26"/>
          <w:lang w:eastAsia="ru-RU"/>
        </w:rPr>
        <w:t>е</w:t>
      </w:r>
      <w:r w:rsidRPr="0042501C">
        <w:rPr>
          <w:rFonts w:ascii="Times New Roman" w:eastAsia="Times New Roman" w:hAnsi="Times New Roman" w:cs="Times New Roman"/>
          <w:sz w:val="26"/>
          <w:szCs w:val="26"/>
          <w:lang w:eastAsia="ru-RU"/>
        </w:rPr>
        <w:t xml:space="preserve"> движение.</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16.1. Укрепление материально-технической базы МБУ «МКЦ «Феникс», финансовое и организационно-методическое сопровождение по исполнению МБУ «МКЦ «Феникс» муниципального задания на оказание муниципальных услуг.</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Исполнение составило 96,2%. </w:t>
      </w:r>
      <w:r w:rsidRPr="00260269">
        <w:rPr>
          <w:rFonts w:ascii="Times New Roman" w:eastAsia="Times New Roman" w:hAnsi="Times New Roman" w:cs="Times New Roman"/>
          <w:sz w:val="26"/>
          <w:szCs w:val="26"/>
          <w:lang w:eastAsia="ru-RU"/>
        </w:rPr>
        <w:t xml:space="preserve">Экономия плановых ассигнований по текущим расходам на содержание МБУ </w:t>
      </w:r>
      <w:r>
        <w:rPr>
          <w:rFonts w:ascii="Times New Roman" w:eastAsia="Times New Roman" w:hAnsi="Times New Roman" w:cs="Times New Roman"/>
          <w:sz w:val="26"/>
          <w:szCs w:val="26"/>
          <w:lang w:eastAsia="ru-RU"/>
        </w:rPr>
        <w:t>«</w:t>
      </w:r>
      <w:r w:rsidRPr="00260269">
        <w:rPr>
          <w:rFonts w:ascii="Times New Roman" w:eastAsia="Times New Roman" w:hAnsi="Times New Roman" w:cs="Times New Roman"/>
          <w:sz w:val="26"/>
          <w:szCs w:val="26"/>
          <w:lang w:eastAsia="ru-RU"/>
        </w:rPr>
        <w:t xml:space="preserve">МКЦ </w:t>
      </w:r>
      <w:r>
        <w:rPr>
          <w:rFonts w:ascii="Times New Roman" w:eastAsia="Times New Roman" w:hAnsi="Times New Roman" w:cs="Times New Roman"/>
          <w:sz w:val="26"/>
          <w:szCs w:val="26"/>
          <w:lang w:eastAsia="ru-RU"/>
        </w:rPr>
        <w:t>«</w:t>
      </w:r>
      <w:r w:rsidRPr="00260269">
        <w:rPr>
          <w:rFonts w:ascii="Times New Roman" w:eastAsia="Times New Roman" w:hAnsi="Times New Roman" w:cs="Times New Roman"/>
          <w:sz w:val="26"/>
          <w:szCs w:val="26"/>
          <w:lang w:eastAsia="ru-RU"/>
        </w:rPr>
        <w:t>Феникс</w:t>
      </w:r>
      <w:r>
        <w:rPr>
          <w:rFonts w:ascii="Times New Roman" w:eastAsia="Times New Roman" w:hAnsi="Times New Roman" w:cs="Times New Roman"/>
          <w:sz w:val="26"/>
          <w:szCs w:val="26"/>
          <w:lang w:eastAsia="ru-RU"/>
        </w:rPr>
        <w:t>»</w:t>
      </w:r>
      <w:r w:rsidRPr="00260269">
        <w:rPr>
          <w:rFonts w:ascii="Times New Roman" w:eastAsia="Times New Roman" w:hAnsi="Times New Roman" w:cs="Times New Roman"/>
          <w:sz w:val="26"/>
          <w:szCs w:val="26"/>
          <w:lang w:eastAsia="ru-RU"/>
        </w:rPr>
        <w:t>.</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19.2. Приобретение оборудования, музыкальных инструментов, костюмов, для проведения культурно-массовых мероприятий.</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Исполнение составило 97,8%. Сложившаяся экономия была возвращена в бюджет города Когалыма.</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21.1. Обеспечение беспрепятственного доступа маломобильных групп населения к объектам, находящимся в муниципальной собственности; обустройство пешеходных дорожек и тротуаров.</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Исполнение составило 94,3%. Экономия сложилась по результатам проведенного аукциона.</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22.2. </w:t>
      </w:r>
      <w:r w:rsidRPr="001429DD">
        <w:rPr>
          <w:rFonts w:ascii="Times New Roman" w:eastAsia="Times New Roman" w:hAnsi="Times New Roman" w:cs="Times New Roman"/>
          <w:sz w:val="26"/>
          <w:szCs w:val="26"/>
          <w:lang w:eastAsia="ru-RU"/>
        </w:rPr>
        <w:t>Реализация мероприятий в рамках подпрограммы «Организация и обеспечение мероприятий в сфере гражданской обороны, защиты населения и территории города Когалыма от чрезвычайных ситуаций» муниципальной программы «Защита населения и территорий от чрезвычайных ситуаций и укрепление пожарной безопасности в городе Когалыме на 2014 - 2016 годы»</w:t>
      </w:r>
      <w:r>
        <w:rPr>
          <w:rFonts w:ascii="Times New Roman" w:eastAsia="Times New Roman" w:hAnsi="Times New Roman" w:cs="Times New Roman"/>
          <w:sz w:val="26"/>
          <w:szCs w:val="26"/>
          <w:lang w:eastAsia="ru-RU"/>
        </w:rPr>
        <w:t>.</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Исполнение составило 75,9%. Экономия сложилась </w:t>
      </w:r>
      <w:r w:rsidR="00D14D58">
        <w:rPr>
          <w:rFonts w:ascii="Times New Roman" w:eastAsia="Times New Roman" w:hAnsi="Times New Roman" w:cs="Times New Roman"/>
          <w:sz w:val="26"/>
          <w:szCs w:val="26"/>
          <w:lang w:eastAsia="ru-RU"/>
        </w:rPr>
        <w:t xml:space="preserve">по муниципальному казенному учреждению «Единая дежурно-диспетчерская служба города Когалыма» </w:t>
      </w:r>
      <w:r w:rsidRPr="001429DD">
        <w:rPr>
          <w:rFonts w:ascii="Times New Roman" w:eastAsia="Times New Roman" w:hAnsi="Times New Roman" w:cs="Times New Roman"/>
          <w:sz w:val="26"/>
          <w:szCs w:val="26"/>
          <w:lang w:eastAsia="ru-RU"/>
        </w:rPr>
        <w:t xml:space="preserve">в результате </w:t>
      </w:r>
      <w:r w:rsidRPr="00D14D58">
        <w:rPr>
          <w:rFonts w:ascii="Times New Roman" w:eastAsia="Times New Roman" w:hAnsi="Times New Roman" w:cs="Times New Roman"/>
          <w:sz w:val="26"/>
          <w:szCs w:val="26"/>
          <w:lang w:eastAsia="ru-RU"/>
        </w:rPr>
        <w:t>фактически предоставленных коммунальных услуг на основании приборов учета и фактически предоставленных услуг связи, согласно документов</w:t>
      </w:r>
      <w:r>
        <w:rPr>
          <w:rFonts w:ascii="Times New Roman" w:eastAsia="Times New Roman" w:hAnsi="Times New Roman" w:cs="Times New Roman"/>
          <w:sz w:val="26"/>
          <w:szCs w:val="26"/>
          <w:lang w:eastAsia="ru-RU"/>
        </w:rPr>
        <w:t xml:space="preserve"> на оплату, а также в результате проведения торгов.</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22.3. </w:t>
      </w:r>
      <w:r w:rsidRPr="00E37149">
        <w:rPr>
          <w:rFonts w:ascii="Times New Roman" w:eastAsia="Times New Roman" w:hAnsi="Times New Roman" w:cs="Times New Roman"/>
          <w:sz w:val="26"/>
          <w:szCs w:val="26"/>
          <w:lang w:eastAsia="ru-RU"/>
        </w:rPr>
        <w:t>Реализация мероприятий в рамках подпрограммы «Укрепление пожарной безопасности в городе Когалыме» муниципальной программы «Защита населения и территорий от чрезвычайных ситуаций и укрепление пожарной безопасности в городе Когалыме на 2014 - 2016 годы»</w:t>
      </w:r>
      <w:r>
        <w:rPr>
          <w:rFonts w:ascii="Times New Roman" w:eastAsia="Times New Roman" w:hAnsi="Times New Roman" w:cs="Times New Roman"/>
          <w:sz w:val="26"/>
          <w:szCs w:val="26"/>
          <w:lang w:eastAsia="ru-RU"/>
        </w:rPr>
        <w:t>.</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Исполнение составило 82,2%. Экономия сложилась по результатам электронных торгов.</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22.4. </w:t>
      </w:r>
      <w:r w:rsidRPr="00E37149">
        <w:rPr>
          <w:rFonts w:ascii="Times New Roman" w:eastAsia="Times New Roman" w:hAnsi="Times New Roman" w:cs="Times New Roman"/>
          <w:sz w:val="26"/>
          <w:szCs w:val="26"/>
          <w:lang w:eastAsia="ru-RU"/>
        </w:rPr>
        <w:t>Реализация мероприятий в рамках подпрограммы «Финансовое обеспечение деятельности отдела по делам гражданской обороны и чрезвычайных ситуаци</w:t>
      </w:r>
      <w:r>
        <w:rPr>
          <w:rFonts w:ascii="Times New Roman" w:eastAsia="Times New Roman" w:hAnsi="Times New Roman" w:cs="Times New Roman"/>
          <w:sz w:val="26"/>
          <w:szCs w:val="26"/>
          <w:lang w:eastAsia="ru-RU"/>
        </w:rPr>
        <w:t>й Администрации города Когалыма»</w:t>
      </w:r>
      <w:r w:rsidRPr="00E37149">
        <w:rPr>
          <w:rFonts w:ascii="Times New Roman" w:eastAsia="Times New Roman" w:hAnsi="Times New Roman" w:cs="Times New Roman"/>
          <w:sz w:val="26"/>
          <w:szCs w:val="26"/>
          <w:lang w:eastAsia="ru-RU"/>
        </w:rPr>
        <w:t xml:space="preserve"> муниципальной программы «Защита населения и территорий от чрезвычайных ситуаций и укрепление пожарной безопасности в городе Когалыме на 2014 - 2016 годы»</w:t>
      </w:r>
      <w:r>
        <w:rPr>
          <w:rFonts w:ascii="Times New Roman" w:eastAsia="Times New Roman" w:hAnsi="Times New Roman" w:cs="Times New Roman"/>
          <w:sz w:val="26"/>
          <w:szCs w:val="26"/>
          <w:lang w:eastAsia="ru-RU"/>
        </w:rPr>
        <w:t>.</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Исполнение составило 94,7%. Экономия сложилась по выплате заработной платы.</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23.2. </w:t>
      </w:r>
      <w:r w:rsidRPr="00FB27DF">
        <w:rPr>
          <w:rFonts w:ascii="Times New Roman" w:eastAsia="Times New Roman" w:hAnsi="Times New Roman" w:cs="Times New Roman"/>
          <w:sz w:val="26"/>
          <w:szCs w:val="26"/>
          <w:lang w:eastAsia="ru-RU"/>
        </w:rPr>
        <w:t>Реконструкция объекта: «Зона отдыха по улице Сибирская» (в том числе ПИР)</w:t>
      </w:r>
      <w:r>
        <w:rPr>
          <w:rFonts w:ascii="Times New Roman" w:eastAsia="Times New Roman" w:hAnsi="Times New Roman" w:cs="Times New Roman"/>
          <w:sz w:val="26"/>
          <w:szCs w:val="26"/>
          <w:lang w:eastAsia="ru-RU"/>
        </w:rPr>
        <w:t>.</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Исполнение составило 98,9%.</w:t>
      </w:r>
    </w:p>
    <w:p w:rsidR="0069035D"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69035D" w:rsidRDefault="00947C60" w:rsidP="0069035D">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3</w:t>
      </w:r>
      <w:r w:rsidR="0069035D" w:rsidRPr="0069035D">
        <w:rPr>
          <w:rFonts w:ascii="Times New Roman" w:eastAsia="Times New Roman" w:hAnsi="Times New Roman" w:cs="Times New Roman"/>
          <w:b/>
          <w:sz w:val="26"/>
          <w:szCs w:val="26"/>
          <w:lang w:eastAsia="ru-RU"/>
        </w:rPr>
        <w:t xml:space="preserve"> мероприяти</w:t>
      </w:r>
      <w:r w:rsidR="0069035D">
        <w:rPr>
          <w:rFonts w:ascii="Times New Roman" w:eastAsia="Times New Roman" w:hAnsi="Times New Roman" w:cs="Times New Roman"/>
          <w:b/>
          <w:sz w:val="26"/>
          <w:szCs w:val="26"/>
          <w:lang w:eastAsia="ru-RU"/>
        </w:rPr>
        <w:t>я</w:t>
      </w:r>
      <w:r w:rsidR="0069035D">
        <w:rPr>
          <w:rFonts w:ascii="Times New Roman" w:eastAsia="Times New Roman" w:hAnsi="Times New Roman" w:cs="Times New Roman"/>
          <w:sz w:val="26"/>
          <w:szCs w:val="26"/>
          <w:lang w:eastAsia="ru-RU"/>
        </w:rPr>
        <w:t xml:space="preserve"> исполнены </w:t>
      </w:r>
      <w:r w:rsidR="0069035D" w:rsidRPr="0069035D">
        <w:rPr>
          <w:rFonts w:ascii="Times New Roman" w:eastAsia="Times New Roman" w:hAnsi="Times New Roman" w:cs="Times New Roman"/>
          <w:b/>
          <w:sz w:val="26"/>
          <w:szCs w:val="26"/>
          <w:lang w:eastAsia="ru-RU"/>
        </w:rPr>
        <w:t>от 50% до 70%:</w:t>
      </w:r>
    </w:p>
    <w:p w:rsidR="0069035D" w:rsidRPr="00D14D58" w:rsidRDefault="0069035D"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14D58">
        <w:rPr>
          <w:rFonts w:ascii="Times New Roman" w:eastAsia="Times New Roman" w:hAnsi="Times New Roman" w:cs="Times New Roman"/>
          <w:sz w:val="26"/>
          <w:szCs w:val="26"/>
          <w:lang w:eastAsia="ru-RU"/>
        </w:rPr>
        <w:t xml:space="preserve">10.1. </w:t>
      </w:r>
      <w:r w:rsidR="00967E29" w:rsidRPr="00D14D58">
        <w:rPr>
          <w:rFonts w:ascii="Times New Roman" w:eastAsia="Times New Roman" w:hAnsi="Times New Roman" w:cs="Times New Roman"/>
          <w:sz w:val="26"/>
          <w:szCs w:val="26"/>
          <w:lang w:eastAsia="ru-RU"/>
        </w:rPr>
        <w:t>Улучшение жилищных условий молодых семей в соответствии с Федеральной целевой программой «Жилище семей», предоставляя социальные выплаты в виде субсидий, на приобретение жилья.</w:t>
      </w:r>
    </w:p>
    <w:p w:rsidR="00967E29" w:rsidRPr="00D14D58" w:rsidRDefault="00947C60"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14D58">
        <w:rPr>
          <w:rFonts w:ascii="Times New Roman" w:eastAsia="Times New Roman" w:hAnsi="Times New Roman" w:cs="Times New Roman"/>
          <w:sz w:val="26"/>
          <w:szCs w:val="26"/>
          <w:lang w:eastAsia="ru-RU"/>
        </w:rPr>
        <w:t>Исполнение составило 66,</w:t>
      </w:r>
      <w:r w:rsidR="003909AD" w:rsidRPr="00D14D58">
        <w:rPr>
          <w:rFonts w:ascii="Times New Roman" w:eastAsia="Times New Roman" w:hAnsi="Times New Roman" w:cs="Times New Roman"/>
          <w:sz w:val="26"/>
          <w:szCs w:val="26"/>
          <w:lang w:eastAsia="ru-RU"/>
        </w:rPr>
        <w:t>5</w:t>
      </w:r>
      <w:r w:rsidR="00967E29" w:rsidRPr="00D14D58">
        <w:rPr>
          <w:rFonts w:ascii="Times New Roman" w:eastAsia="Times New Roman" w:hAnsi="Times New Roman" w:cs="Times New Roman"/>
          <w:sz w:val="26"/>
          <w:szCs w:val="26"/>
          <w:lang w:eastAsia="ru-RU"/>
        </w:rPr>
        <w:t xml:space="preserve">%. </w:t>
      </w:r>
      <w:r w:rsidR="008D088B" w:rsidRPr="00D14D58">
        <w:rPr>
          <w:rFonts w:ascii="Times New Roman" w:eastAsia="Times New Roman" w:hAnsi="Times New Roman" w:cs="Times New Roman"/>
          <w:sz w:val="26"/>
          <w:szCs w:val="26"/>
          <w:lang w:eastAsia="ru-RU"/>
        </w:rPr>
        <w:t>В рамках Соглашения о предоставлении средств федерального бюджета, бюджета Ханты-Мансийского автономного округа – Югры бюджету муниципального образования управлением по жилищной политике 5 семьям-получателям субсидии выданы свидетельства о получении меры государственной поддержки. На начало 2016 года по трем из пяти свидетельств перечислены средства.</w:t>
      </w:r>
    </w:p>
    <w:p w:rsidR="00967E29" w:rsidRDefault="00967E29"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10.3. Улучшение жилищных условий отдельных категорий граждан.</w:t>
      </w:r>
    </w:p>
    <w:p w:rsidR="00967E29" w:rsidRDefault="00967E29"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Исполнение составило 57,1%. </w:t>
      </w:r>
      <w:r w:rsidR="00DC647C">
        <w:rPr>
          <w:rFonts w:ascii="Times New Roman" w:eastAsia="Times New Roman" w:hAnsi="Times New Roman" w:cs="Times New Roman"/>
          <w:sz w:val="26"/>
          <w:szCs w:val="26"/>
          <w:lang w:eastAsia="ru-RU"/>
        </w:rPr>
        <w:t>В 2015 году по данному мероприятию заявителей не было</w:t>
      </w:r>
      <w:r w:rsidR="00DC647C">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Данные средства были направлены на </w:t>
      </w:r>
      <w:r w:rsidR="00701616">
        <w:rPr>
          <w:rFonts w:ascii="Times New Roman" w:eastAsia="Times New Roman" w:hAnsi="Times New Roman" w:cs="Times New Roman"/>
          <w:sz w:val="26"/>
          <w:szCs w:val="26"/>
          <w:lang w:eastAsia="ru-RU"/>
        </w:rPr>
        <w:t>реализацию мероприятия</w:t>
      </w:r>
      <w:r>
        <w:rPr>
          <w:rFonts w:ascii="Times New Roman" w:eastAsia="Times New Roman" w:hAnsi="Times New Roman" w:cs="Times New Roman"/>
          <w:sz w:val="26"/>
          <w:szCs w:val="26"/>
          <w:lang w:eastAsia="ru-RU"/>
        </w:rPr>
        <w:t xml:space="preserve"> по улучшению</w:t>
      </w:r>
      <w:r w:rsidR="003909AD">
        <w:rPr>
          <w:rFonts w:ascii="Times New Roman" w:eastAsia="Times New Roman" w:hAnsi="Times New Roman" w:cs="Times New Roman"/>
          <w:sz w:val="26"/>
          <w:szCs w:val="26"/>
          <w:lang w:eastAsia="ru-RU"/>
        </w:rPr>
        <w:t xml:space="preserve"> </w:t>
      </w:r>
      <w:r w:rsidR="00DC647C">
        <w:rPr>
          <w:rFonts w:ascii="Times New Roman" w:eastAsia="Times New Roman" w:hAnsi="Times New Roman" w:cs="Times New Roman"/>
          <w:sz w:val="26"/>
          <w:szCs w:val="26"/>
          <w:lang w:eastAsia="ru-RU"/>
        </w:rPr>
        <w:t xml:space="preserve">жилищных условий молодых семей, то есть на </w:t>
      </w:r>
      <w:r w:rsidR="003909AD">
        <w:rPr>
          <w:rFonts w:ascii="Times New Roman" w:eastAsia="Times New Roman" w:hAnsi="Times New Roman" w:cs="Times New Roman"/>
          <w:sz w:val="26"/>
          <w:szCs w:val="26"/>
          <w:lang w:eastAsia="ru-RU"/>
        </w:rPr>
        <w:t>мероприятие №10.1.</w:t>
      </w:r>
    </w:p>
    <w:p w:rsidR="00967E29" w:rsidRDefault="00967E29"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11.1. </w:t>
      </w:r>
      <w:r w:rsidRPr="00967E29">
        <w:rPr>
          <w:rFonts w:ascii="Times New Roman" w:eastAsia="Times New Roman" w:hAnsi="Times New Roman" w:cs="Times New Roman"/>
          <w:sz w:val="26"/>
          <w:szCs w:val="26"/>
          <w:lang w:eastAsia="ru-RU"/>
        </w:rPr>
        <w:t>Организация временного трудоустройства несовершеннолетних безработных граждан в возрасте от 14 до 18 лет</w:t>
      </w:r>
      <w:r>
        <w:rPr>
          <w:rFonts w:ascii="Times New Roman" w:eastAsia="Times New Roman" w:hAnsi="Times New Roman" w:cs="Times New Roman"/>
          <w:sz w:val="26"/>
          <w:szCs w:val="26"/>
          <w:lang w:eastAsia="ru-RU"/>
        </w:rPr>
        <w:t>.</w:t>
      </w:r>
    </w:p>
    <w:p w:rsidR="00967E29" w:rsidRDefault="00967E29"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Исполнение составило </w:t>
      </w:r>
      <w:r w:rsidR="00E62EFE">
        <w:rPr>
          <w:rFonts w:ascii="Times New Roman" w:eastAsia="Times New Roman" w:hAnsi="Times New Roman" w:cs="Times New Roman"/>
          <w:sz w:val="26"/>
          <w:szCs w:val="26"/>
          <w:lang w:eastAsia="ru-RU"/>
        </w:rPr>
        <w:t>62,9%. Не освоение денежных средств связано с неполным (фактическим) отработанным временем несовершеннолетними гражданами и досрочным расторжением трудовых договоров.</w:t>
      </w:r>
    </w:p>
    <w:p w:rsidR="000A72AB" w:rsidRDefault="000A72AB"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0A72AB" w:rsidRDefault="000A72AB"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A72AB">
        <w:rPr>
          <w:rFonts w:ascii="Times New Roman" w:eastAsia="Times New Roman" w:hAnsi="Times New Roman" w:cs="Times New Roman"/>
          <w:b/>
          <w:sz w:val="26"/>
          <w:szCs w:val="26"/>
          <w:lang w:eastAsia="ru-RU"/>
        </w:rPr>
        <w:t>2 мероприятия</w:t>
      </w:r>
      <w:r>
        <w:rPr>
          <w:rFonts w:ascii="Times New Roman" w:eastAsia="Times New Roman" w:hAnsi="Times New Roman" w:cs="Times New Roman"/>
          <w:sz w:val="26"/>
          <w:szCs w:val="26"/>
          <w:lang w:eastAsia="ru-RU"/>
        </w:rPr>
        <w:t xml:space="preserve"> исполнены </w:t>
      </w:r>
      <w:r w:rsidRPr="000A72AB">
        <w:rPr>
          <w:rFonts w:ascii="Times New Roman" w:eastAsia="Times New Roman" w:hAnsi="Times New Roman" w:cs="Times New Roman"/>
          <w:b/>
          <w:sz w:val="26"/>
          <w:szCs w:val="26"/>
          <w:lang w:eastAsia="ru-RU"/>
        </w:rPr>
        <w:t>менее чем на 50%:</w:t>
      </w:r>
    </w:p>
    <w:p w:rsidR="000A72AB" w:rsidRDefault="00344202"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8.3. </w:t>
      </w:r>
      <w:r w:rsidRPr="00344202">
        <w:rPr>
          <w:rFonts w:ascii="Times New Roman" w:eastAsia="Times New Roman" w:hAnsi="Times New Roman" w:cs="Times New Roman"/>
          <w:sz w:val="26"/>
          <w:szCs w:val="26"/>
          <w:lang w:eastAsia="ru-RU"/>
        </w:rPr>
        <w:t>Строительство магистральных инженерных сетей застройки группы ж</w:t>
      </w:r>
      <w:r>
        <w:rPr>
          <w:rFonts w:ascii="Times New Roman" w:eastAsia="Times New Roman" w:hAnsi="Times New Roman" w:cs="Times New Roman"/>
          <w:sz w:val="26"/>
          <w:szCs w:val="26"/>
          <w:lang w:eastAsia="ru-RU"/>
        </w:rPr>
        <w:t>и</w:t>
      </w:r>
      <w:r w:rsidRPr="00344202">
        <w:rPr>
          <w:rFonts w:ascii="Times New Roman" w:eastAsia="Times New Roman" w:hAnsi="Times New Roman" w:cs="Times New Roman"/>
          <w:sz w:val="26"/>
          <w:szCs w:val="26"/>
          <w:lang w:eastAsia="ru-RU"/>
        </w:rPr>
        <w:t>лых домов по ул. Комсомольской</w:t>
      </w:r>
      <w:r>
        <w:rPr>
          <w:rFonts w:ascii="Times New Roman" w:eastAsia="Times New Roman" w:hAnsi="Times New Roman" w:cs="Times New Roman"/>
          <w:sz w:val="26"/>
          <w:szCs w:val="26"/>
          <w:lang w:eastAsia="ru-RU"/>
        </w:rPr>
        <w:t>.</w:t>
      </w:r>
    </w:p>
    <w:p w:rsidR="00344202" w:rsidRDefault="00344202"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Исполнение составило 40,7%. </w:t>
      </w:r>
      <w:r w:rsidRPr="00344202">
        <w:rPr>
          <w:rFonts w:ascii="Times New Roman" w:eastAsia="Times New Roman" w:hAnsi="Times New Roman" w:cs="Times New Roman"/>
          <w:sz w:val="26"/>
          <w:szCs w:val="26"/>
          <w:lang w:eastAsia="ru-RU"/>
        </w:rPr>
        <w:t>Строительно-монтажные работы, предусмотренные муниципальным контрактом, ведутся с нарушением сроков, в адрес подрядной организации выставлены претензии. Реализация мероприятия будет продолжена в 2016 году.</w:t>
      </w:r>
    </w:p>
    <w:p w:rsidR="00344202" w:rsidRDefault="00344202" w:rsidP="0069035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19.3. </w:t>
      </w:r>
      <w:r w:rsidRPr="00344202">
        <w:rPr>
          <w:rFonts w:ascii="Times New Roman" w:eastAsia="Times New Roman" w:hAnsi="Times New Roman" w:cs="Times New Roman"/>
          <w:sz w:val="26"/>
          <w:szCs w:val="26"/>
          <w:lang w:eastAsia="ru-RU"/>
        </w:rPr>
        <w:t xml:space="preserve">Реконструкция объекта: «Киноконцертный комплекс </w:t>
      </w:r>
      <w:r>
        <w:rPr>
          <w:rFonts w:ascii="Times New Roman" w:eastAsia="Times New Roman" w:hAnsi="Times New Roman" w:cs="Times New Roman"/>
          <w:sz w:val="26"/>
          <w:szCs w:val="26"/>
          <w:lang w:eastAsia="ru-RU"/>
        </w:rPr>
        <w:t>«</w:t>
      </w:r>
      <w:r w:rsidRPr="00344202">
        <w:rPr>
          <w:rFonts w:ascii="Times New Roman" w:eastAsia="Times New Roman" w:hAnsi="Times New Roman" w:cs="Times New Roman"/>
          <w:sz w:val="26"/>
          <w:szCs w:val="26"/>
          <w:lang w:eastAsia="ru-RU"/>
        </w:rPr>
        <w:t>Янтарь</w:t>
      </w:r>
      <w:r>
        <w:rPr>
          <w:rFonts w:ascii="Times New Roman" w:eastAsia="Times New Roman" w:hAnsi="Times New Roman" w:cs="Times New Roman"/>
          <w:sz w:val="26"/>
          <w:szCs w:val="26"/>
          <w:lang w:eastAsia="ru-RU"/>
        </w:rPr>
        <w:t>»</w:t>
      </w:r>
      <w:r w:rsidRPr="00344202">
        <w:rPr>
          <w:rFonts w:ascii="Times New Roman" w:eastAsia="Times New Roman" w:hAnsi="Times New Roman" w:cs="Times New Roman"/>
          <w:sz w:val="26"/>
          <w:szCs w:val="26"/>
          <w:lang w:eastAsia="ru-RU"/>
        </w:rPr>
        <w:t xml:space="preserve"> под филиал Государственного академического Малого театра России» (в том числе ПИР)</w:t>
      </w:r>
      <w:r>
        <w:rPr>
          <w:rFonts w:ascii="Times New Roman" w:eastAsia="Times New Roman" w:hAnsi="Times New Roman" w:cs="Times New Roman"/>
          <w:sz w:val="26"/>
          <w:szCs w:val="26"/>
          <w:lang w:eastAsia="ru-RU"/>
        </w:rPr>
        <w:t>.</w:t>
      </w:r>
    </w:p>
    <w:p w:rsidR="00344202" w:rsidRPr="00344202" w:rsidRDefault="00344202" w:rsidP="003442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Исполнение составило 8,3%. </w:t>
      </w:r>
      <w:r w:rsidRPr="00344202">
        <w:rPr>
          <w:rFonts w:ascii="Times New Roman" w:eastAsia="Times New Roman" w:hAnsi="Times New Roman" w:cs="Times New Roman"/>
          <w:sz w:val="26"/>
          <w:szCs w:val="26"/>
          <w:lang w:eastAsia="ru-RU"/>
        </w:rPr>
        <w:t xml:space="preserve">На отчетную дату заключено 2 контракта: </w:t>
      </w:r>
    </w:p>
    <w:p w:rsidR="00344202" w:rsidRPr="00344202" w:rsidRDefault="00344202" w:rsidP="003442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4202">
        <w:rPr>
          <w:rFonts w:ascii="Times New Roman" w:eastAsia="Times New Roman" w:hAnsi="Times New Roman" w:cs="Times New Roman"/>
          <w:sz w:val="26"/>
          <w:szCs w:val="26"/>
          <w:lang w:eastAsia="ru-RU"/>
        </w:rPr>
        <w:t>1) на выполнение изысканий и проектных работ для реконструкции</w:t>
      </w:r>
      <w:r>
        <w:rPr>
          <w:rFonts w:ascii="Times New Roman" w:eastAsia="Times New Roman" w:hAnsi="Times New Roman" w:cs="Times New Roman"/>
          <w:sz w:val="26"/>
          <w:szCs w:val="26"/>
          <w:lang w:eastAsia="ru-RU"/>
        </w:rPr>
        <w:t xml:space="preserve"> объекта, функции заказчика МУ «</w:t>
      </w:r>
      <w:r w:rsidRPr="00344202">
        <w:rPr>
          <w:rFonts w:ascii="Times New Roman" w:eastAsia="Times New Roman" w:hAnsi="Times New Roman" w:cs="Times New Roman"/>
          <w:sz w:val="26"/>
          <w:szCs w:val="26"/>
          <w:lang w:eastAsia="ru-RU"/>
        </w:rPr>
        <w:t>УКС г.</w:t>
      </w:r>
      <w:r>
        <w:rPr>
          <w:rFonts w:ascii="Times New Roman" w:eastAsia="Times New Roman" w:hAnsi="Times New Roman" w:cs="Times New Roman"/>
          <w:sz w:val="26"/>
          <w:szCs w:val="26"/>
          <w:lang w:eastAsia="ru-RU"/>
        </w:rPr>
        <w:t xml:space="preserve"> </w:t>
      </w:r>
      <w:r w:rsidRPr="00344202">
        <w:rPr>
          <w:rFonts w:ascii="Times New Roman" w:eastAsia="Times New Roman" w:hAnsi="Times New Roman" w:cs="Times New Roman"/>
          <w:sz w:val="26"/>
          <w:szCs w:val="26"/>
          <w:lang w:eastAsia="ru-RU"/>
        </w:rPr>
        <w:t>Когалыма</w:t>
      </w:r>
      <w:r>
        <w:rPr>
          <w:rFonts w:ascii="Times New Roman" w:eastAsia="Times New Roman" w:hAnsi="Times New Roman" w:cs="Times New Roman"/>
          <w:sz w:val="26"/>
          <w:szCs w:val="26"/>
          <w:lang w:eastAsia="ru-RU"/>
        </w:rPr>
        <w:t>»</w:t>
      </w:r>
      <w:r w:rsidRPr="00344202">
        <w:rPr>
          <w:rFonts w:ascii="Times New Roman" w:eastAsia="Times New Roman" w:hAnsi="Times New Roman" w:cs="Times New Roman"/>
          <w:sz w:val="26"/>
          <w:szCs w:val="26"/>
          <w:lang w:eastAsia="ru-RU"/>
        </w:rPr>
        <w:t xml:space="preserve"> переданы 31.07.2015, цена контракта </w:t>
      </w:r>
      <w:r>
        <w:rPr>
          <w:rFonts w:ascii="Times New Roman" w:eastAsia="Times New Roman" w:hAnsi="Times New Roman" w:cs="Times New Roman"/>
          <w:sz w:val="26"/>
          <w:szCs w:val="26"/>
          <w:lang w:eastAsia="ru-RU"/>
        </w:rPr>
        <w:t xml:space="preserve">          </w:t>
      </w:r>
      <w:r w:rsidRPr="00344202">
        <w:rPr>
          <w:rFonts w:ascii="Times New Roman" w:eastAsia="Times New Roman" w:hAnsi="Times New Roman" w:cs="Times New Roman"/>
          <w:sz w:val="26"/>
          <w:szCs w:val="26"/>
          <w:lang w:eastAsia="ru-RU"/>
        </w:rPr>
        <w:t>18 700,0 тыс.</w:t>
      </w:r>
      <w:r>
        <w:rPr>
          <w:rFonts w:ascii="Times New Roman" w:eastAsia="Times New Roman" w:hAnsi="Times New Roman" w:cs="Times New Roman"/>
          <w:sz w:val="26"/>
          <w:szCs w:val="26"/>
          <w:lang w:eastAsia="ru-RU"/>
        </w:rPr>
        <w:t xml:space="preserve"> </w:t>
      </w:r>
      <w:r w:rsidRPr="00344202">
        <w:rPr>
          <w:rFonts w:ascii="Times New Roman" w:eastAsia="Times New Roman" w:hAnsi="Times New Roman" w:cs="Times New Roman"/>
          <w:sz w:val="26"/>
          <w:szCs w:val="26"/>
          <w:lang w:eastAsia="ru-RU"/>
        </w:rPr>
        <w:t xml:space="preserve">рублей, срок выполнения работ с 01.08.2015 по 31.07.2016. Выполнение работ предусмотрено в 5 этапов, на отчетную дату выполнено 2 этапа. </w:t>
      </w:r>
    </w:p>
    <w:p w:rsidR="00344202" w:rsidRDefault="00344202" w:rsidP="003442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44202">
        <w:rPr>
          <w:rFonts w:ascii="Times New Roman" w:eastAsia="Times New Roman" w:hAnsi="Times New Roman" w:cs="Times New Roman"/>
          <w:sz w:val="26"/>
          <w:szCs w:val="26"/>
          <w:lang w:eastAsia="ru-RU"/>
        </w:rPr>
        <w:t xml:space="preserve">2) №15С2014 от 17.07.2015 на оказание услуг по ведению авторского надзора за реконструкцией объекта, функции заказчика по контракту МУ </w:t>
      </w:r>
      <w:r>
        <w:rPr>
          <w:rFonts w:ascii="Times New Roman" w:eastAsia="Times New Roman" w:hAnsi="Times New Roman" w:cs="Times New Roman"/>
          <w:sz w:val="26"/>
          <w:szCs w:val="26"/>
          <w:lang w:eastAsia="ru-RU"/>
        </w:rPr>
        <w:t>«</w:t>
      </w:r>
      <w:r w:rsidRPr="00344202">
        <w:rPr>
          <w:rFonts w:ascii="Times New Roman" w:eastAsia="Times New Roman" w:hAnsi="Times New Roman" w:cs="Times New Roman"/>
          <w:sz w:val="26"/>
          <w:szCs w:val="26"/>
          <w:lang w:eastAsia="ru-RU"/>
        </w:rPr>
        <w:t>УКС г.</w:t>
      </w:r>
      <w:r>
        <w:rPr>
          <w:rFonts w:ascii="Times New Roman" w:eastAsia="Times New Roman" w:hAnsi="Times New Roman" w:cs="Times New Roman"/>
          <w:sz w:val="26"/>
          <w:szCs w:val="26"/>
          <w:lang w:eastAsia="ru-RU"/>
        </w:rPr>
        <w:t xml:space="preserve"> </w:t>
      </w:r>
      <w:r w:rsidRPr="00344202">
        <w:rPr>
          <w:rFonts w:ascii="Times New Roman" w:eastAsia="Times New Roman" w:hAnsi="Times New Roman" w:cs="Times New Roman"/>
          <w:sz w:val="26"/>
          <w:szCs w:val="26"/>
          <w:lang w:eastAsia="ru-RU"/>
        </w:rPr>
        <w:t>Когалыма</w:t>
      </w:r>
      <w:r>
        <w:rPr>
          <w:rFonts w:ascii="Times New Roman" w:eastAsia="Times New Roman" w:hAnsi="Times New Roman" w:cs="Times New Roman"/>
          <w:sz w:val="26"/>
          <w:szCs w:val="26"/>
          <w:lang w:eastAsia="ru-RU"/>
        </w:rPr>
        <w:t>»</w:t>
      </w:r>
      <w:r w:rsidRPr="00344202">
        <w:rPr>
          <w:rFonts w:ascii="Times New Roman" w:eastAsia="Times New Roman" w:hAnsi="Times New Roman" w:cs="Times New Roman"/>
          <w:sz w:val="26"/>
          <w:szCs w:val="26"/>
          <w:lang w:eastAsia="ru-RU"/>
        </w:rPr>
        <w:t xml:space="preserve"> переданы 31.07.2015, цена контракта 2</w:t>
      </w:r>
      <w:r>
        <w:rPr>
          <w:rFonts w:ascii="Times New Roman" w:eastAsia="Times New Roman" w:hAnsi="Times New Roman" w:cs="Times New Roman"/>
          <w:sz w:val="26"/>
          <w:szCs w:val="26"/>
          <w:lang w:eastAsia="ru-RU"/>
        </w:rPr>
        <w:t xml:space="preserve"> </w:t>
      </w:r>
      <w:r w:rsidRPr="00344202">
        <w:rPr>
          <w:rFonts w:ascii="Times New Roman" w:eastAsia="Times New Roman" w:hAnsi="Times New Roman" w:cs="Times New Roman"/>
          <w:sz w:val="26"/>
          <w:szCs w:val="26"/>
          <w:lang w:eastAsia="ru-RU"/>
        </w:rPr>
        <w:t>450,0 тыс.</w:t>
      </w:r>
      <w:r>
        <w:rPr>
          <w:rFonts w:ascii="Times New Roman" w:eastAsia="Times New Roman" w:hAnsi="Times New Roman" w:cs="Times New Roman"/>
          <w:sz w:val="26"/>
          <w:szCs w:val="26"/>
          <w:lang w:eastAsia="ru-RU"/>
        </w:rPr>
        <w:t xml:space="preserve"> </w:t>
      </w:r>
      <w:r w:rsidRPr="00344202">
        <w:rPr>
          <w:rFonts w:ascii="Times New Roman" w:eastAsia="Times New Roman" w:hAnsi="Times New Roman" w:cs="Times New Roman"/>
          <w:sz w:val="26"/>
          <w:szCs w:val="26"/>
          <w:lang w:eastAsia="ru-RU"/>
        </w:rPr>
        <w:t>рублей, срок оказания услуг с 01.08.2015 по 31.12.2015.</w:t>
      </w:r>
      <w:r>
        <w:rPr>
          <w:rFonts w:ascii="Times New Roman" w:eastAsia="Times New Roman" w:hAnsi="Times New Roman" w:cs="Times New Roman"/>
          <w:sz w:val="26"/>
          <w:szCs w:val="26"/>
          <w:lang w:eastAsia="ru-RU"/>
        </w:rPr>
        <w:t xml:space="preserve"> Средства по данному мероприяти</w:t>
      </w:r>
      <w:r w:rsidRPr="00344202">
        <w:rPr>
          <w:rFonts w:ascii="Times New Roman" w:eastAsia="Times New Roman" w:hAnsi="Times New Roman" w:cs="Times New Roman"/>
          <w:sz w:val="26"/>
          <w:szCs w:val="26"/>
          <w:lang w:eastAsia="ru-RU"/>
        </w:rPr>
        <w:t>ю освоены не в полном объеме, так как сроки исполнения контрактов превышают отчетный финансовый год.</w:t>
      </w:r>
    </w:p>
    <w:p w:rsidR="00263B0D" w:rsidRDefault="00263B0D" w:rsidP="003442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263B0D" w:rsidRPr="00D14D58" w:rsidRDefault="00263B0D" w:rsidP="003442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63B0D">
        <w:rPr>
          <w:rFonts w:ascii="Times New Roman" w:eastAsia="Times New Roman" w:hAnsi="Times New Roman" w:cs="Times New Roman"/>
          <w:b/>
          <w:sz w:val="26"/>
          <w:szCs w:val="26"/>
          <w:lang w:eastAsia="ru-RU"/>
        </w:rPr>
        <w:t>19 мероприятий</w:t>
      </w:r>
      <w:r>
        <w:rPr>
          <w:rFonts w:ascii="Times New Roman" w:eastAsia="Times New Roman" w:hAnsi="Times New Roman" w:cs="Times New Roman"/>
          <w:sz w:val="26"/>
          <w:szCs w:val="26"/>
          <w:lang w:eastAsia="ru-RU"/>
        </w:rPr>
        <w:t xml:space="preserve"> реализовывались без финансирования</w:t>
      </w:r>
      <w:r w:rsidR="0005794D">
        <w:rPr>
          <w:rFonts w:ascii="Times New Roman" w:eastAsia="Times New Roman" w:hAnsi="Times New Roman" w:cs="Times New Roman"/>
          <w:sz w:val="26"/>
          <w:szCs w:val="26"/>
          <w:lang w:eastAsia="ru-RU"/>
        </w:rPr>
        <w:t>,</w:t>
      </w:r>
      <w:r w:rsidR="004B2B43">
        <w:rPr>
          <w:rFonts w:ascii="Times New Roman" w:eastAsia="Times New Roman" w:hAnsi="Times New Roman" w:cs="Times New Roman"/>
          <w:sz w:val="26"/>
          <w:szCs w:val="26"/>
          <w:lang w:eastAsia="ru-RU"/>
        </w:rPr>
        <w:t xml:space="preserve"> </w:t>
      </w:r>
      <w:r w:rsidR="004B2B43" w:rsidRPr="00D14D58">
        <w:rPr>
          <w:rFonts w:ascii="Times New Roman" w:eastAsia="Times New Roman" w:hAnsi="Times New Roman" w:cs="Times New Roman"/>
          <w:sz w:val="26"/>
          <w:szCs w:val="26"/>
          <w:lang w:eastAsia="ru-RU"/>
        </w:rPr>
        <w:t>либо отсутствовала потребность в финансировании</w:t>
      </w:r>
      <w:r w:rsidRPr="00D14D58">
        <w:rPr>
          <w:rFonts w:ascii="Times New Roman" w:eastAsia="Times New Roman" w:hAnsi="Times New Roman" w:cs="Times New Roman"/>
          <w:sz w:val="26"/>
          <w:szCs w:val="26"/>
          <w:lang w:eastAsia="ru-RU"/>
        </w:rPr>
        <w:t>.</w:t>
      </w:r>
    </w:p>
    <w:p w:rsidR="00263B0D" w:rsidRDefault="00263B0D" w:rsidP="003442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Ежегодно актуализируется Инвестиционный паспорт города Когалыма и размещается на официальном сайте Администрации города Когалыма. </w:t>
      </w:r>
    </w:p>
    <w:p w:rsidR="00263B0D" w:rsidRDefault="00263B0D" w:rsidP="003442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городе создан и действует </w:t>
      </w:r>
      <w:r w:rsidR="00167872">
        <w:rPr>
          <w:rFonts w:ascii="Times New Roman" w:eastAsia="Times New Roman" w:hAnsi="Times New Roman" w:cs="Times New Roman"/>
          <w:sz w:val="26"/>
          <w:szCs w:val="26"/>
          <w:lang w:eastAsia="ru-RU"/>
        </w:rPr>
        <w:t>Совет по вопросам Инвестиционной деятельности в городе Когалыме.</w:t>
      </w:r>
    </w:p>
    <w:p w:rsidR="00167872" w:rsidRDefault="00167872" w:rsidP="003442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постоянном режиме оказывается содействие в подборе земельных участков субъектам малого и среднего предпринимательства, желающим реализовывать проекты.</w:t>
      </w:r>
    </w:p>
    <w:p w:rsidR="00167872" w:rsidRDefault="00167872" w:rsidP="003442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67872">
        <w:rPr>
          <w:rFonts w:ascii="Times New Roman" w:eastAsia="Times New Roman" w:hAnsi="Times New Roman" w:cs="Times New Roman"/>
          <w:sz w:val="26"/>
          <w:szCs w:val="26"/>
          <w:lang w:eastAsia="ru-RU"/>
        </w:rPr>
        <w:t>В течение года проводится информационно-разъяснительная работа с сельхозпроизводителями и лицами, желающими заняться данным видом деятельности, о мерах и способах государственной поддержки агропромышленного комплекса. Так в 2015 году, за консультацией по вопросу финансовой поддержки на развитие сельскохозяйственного производства, обратились 26 человек, в том числе 12 сельхозпроизводителей и 14 человек желающих начать сельскохозяйственную деятельность. С каждым заявителем была проведена консультация с предоставлением нормативной документации, для ознакомления и применения в работе.</w:t>
      </w:r>
    </w:p>
    <w:p w:rsidR="00B06241" w:rsidRPr="00B226BA" w:rsidRDefault="00B06241" w:rsidP="003442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226BA">
        <w:rPr>
          <w:rFonts w:ascii="Times New Roman" w:eastAsia="Times New Roman" w:hAnsi="Times New Roman" w:cs="Times New Roman"/>
          <w:sz w:val="26"/>
          <w:szCs w:val="26"/>
          <w:lang w:eastAsia="ru-RU"/>
        </w:rPr>
        <w:t>Сформированы земельные участки, которые могут быть использованы для реализации инвестиционных проектов.</w:t>
      </w:r>
    </w:p>
    <w:p w:rsidR="00B06241" w:rsidRPr="00B226BA" w:rsidRDefault="00B06241" w:rsidP="003442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226BA">
        <w:rPr>
          <w:rFonts w:ascii="Times New Roman" w:eastAsia="Times New Roman" w:hAnsi="Times New Roman" w:cs="Times New Roman"/>
          <w:sz w:val="26"/>
          <w:szCs w:val="26"/>
          <w:lang w:eastAsia="ru-RU"/>
        </w:rPr>
        <w:t>Осуществляется предоставление муниципального имущества во владение и (или) пользование субъектам малого и среднего предпринимательства (далее - Субъекты), осуществляющим деятельность в социально значимых видах деятельности, на возмездной основе и на льготных условиях.</w:t>
      </w:r>
      <w:r w:rsidRPr="00B226BA">
        <w:t xml:space="preserve"> </w:t>
      </w:r>
      <w:r w:rsidRPr="00B226BA">
        <w:rPr>
          <w:rFonts w:ascii="Times New Roman" w:eastAsia="Times New Roman" w:hAnsi="Times New Roman" w:cs="Times New Roman"/>
          <w:sz w:val="26"/>
          <w:szCs w:val="26"/>
          <w:lang w:eastAsia="ru-RU"/>
        </w:rPr>
        <w:t>В 2015 году была предоставлена поддержка в виде аренды недвижимого имущества (32 Субъектам) и аренды движимого имущества (1 Субъекту) (в 2014 году 8 и 2 Субъектам соответственно).</w:t>
      </w:r>
    </w:p>
    <w:p w:rsidR="00B06241" w:rsidRPr="00B226BA" w:rsidRDefault="00B06241" w:rsidP="0034420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226BA">
        <w:rPr>
          <w:rFonts w:ascii="Times New Roman" w:eastAsia="Times New Roman" w:hAnsi="Times New Roman" w:cs="Times New Roman"/>
          <w:sz w:val="26"/>
          <w:szCs w:val="26"/>
          <w:lang w:eastAsia="ru-RU"/>
        </w:rPr>
        <w:t>Структурными подразделениями Администрации города Когалыма на постоянной основе осуществляется организация и проведение конференций, деловых встреч, круглых столов с участием Субъектов.</w:t>
      </w:r>
    </w:p>
    <w:p w:rsidR="00B06241" w:rsidRPr="00B226BA" w:rsidRDefault="00CA114D" w:rsidP="00CA114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226BA">
        <w:rPr>
          <w:rFonts w:ascii="Times New Roman" w:eastAsia="Times New Roman" w:hAnsi="Times New Roman" w:cs="Times New Roman"/>
          <w:sz w:val="26"/>
          <w:szCs w:val="26"/>
          <w:lang w:eastAsia="ru-RU"/>
        </w:rPr>
        <w:t xml:space="preserve">Продолжается работа, направленная на стимулирование строительства жилья в городе за счет создания гарантированного спроса не него, </w:t>
      </w:r>
      <w:r w:rsidR="0005794D">
        <w:rPr>
          <w:rFonts w:ascii="Times New Roman" w:eastAsia="Times New Roman" w:hAnsi="Times New Roman" w:cs="Times New Roman"/>
          <w:sz w:val="26"/>
          <w:szCs w:val="26"/>
          <w:lang w:eastAsia="ru-RU"/>
        </w:rPr>
        <w:t xml:space="preserve">в </w:t>
      </w:r>
      <w:r w:rsidRPr="00B226BA">
        <w:rPr>
          <w:rFonts w:ascii="Times New Roman" w:eastAsia="Times New Roman" w:hAnsi="Times New Roman" w:cs="Times New Roman"/>
          <w:sz w:val="26"/>
          <w:szCs w:val="26"/>
          <w:lang w:eastAsia="ru-RU"/>
        </w:rPr>
        <w:t>рамках которой реализуется мероприятие «Приобретение жилья» подпрограммы 1 «Реализация полномочий в области строительства, градостроительной деятельности и жилищных отношений» муниципальной программы «Обеспечение доступным и комфортным жильём жителей города Когалыма». Мероприятие направлено на приобретение жилых помещений у застройщиков с целью переселения граждан из жилых помещений, признанных непригодными для проживания, на обеспечение жильем граждан, состоящих на учёте для его получения на условиях социального найма, и на обеспечение работников бюджетной сферы служебным жильем и общежитиями.  Также продолжается реализация адресной программы Ханты-Мансийского автономного округа - Югры по переселению граждан из аварийного жилищного фонда на 2013-2017 годы, действующей на территории города Когалыма до 2015 года. В соответствии с постановлением Администрации города Когалыма от 31.05.2013 №1619 «Об утверждении муниципальной адресной программы по переселению граждан из аварийного жилищного фонда города Когалыма на 2013-2015 годы» были предусмотрены расходы на оплату окончательного расчета по 43 муниципальным контрактам, заключенным в 2014 году. В 2015 году по указанным контрактам оформлено в муниципальную собственность города Когалыма 43 квартиры, которые предоставлены гражданам по переселению из непригодного жилищного фонда.</w:t>
      </w:r>
    </w:p>
    <w:p w:rsidR="004B2B43" w:rsidRDefault="004B2B43" w:rsidP="00CA114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226BA">
        <w:rPr>
          <w:rFonts w:ascii="Times New Roman" w:eastAsia="Times New Roman" w:hAnsi="Times New Roman" w:cs="Times New Roman"/>
          <w:sz w:val="26"/>
          <w:szCs w:val="26"/>
          <w:lang w:eastAsia="ru-RU"/>
        </w:rPr>
        <w:t xml:space="preserve">Осуществляется переселение, по договорам социального найма, в новостройки семей, проживающих в жилых домах, признанных аварийными, непригодными для проживания. </w:t>
      </w:r>
      <w:r w:rsidR="00B226BA" w:rsidRPr="00B226BA">
        <w:rPr>
          <w:rFonts w:ascii="Times New Roman" w:eastAsia="Times New Roman" w:hAnsi="Times New Roman" w:cs="Times New Roman"/>
          <w:sz w:val="26"/>
          <w:szCs w:val="26"/>
          <w:lang w:eastAsia="ru-RU"/>
        </w:rPr>
        <w:t>В 2015 году переселено в новостройки из жилых домов, признанных аварийными, непригодными для проживания 60 семей, с которыми заключены договоры социального найма жилого помещения.</w:t>
      </w:r>
    </w:p>
    <w:p w:rsidR="00B226BA" w:rsidRDefault="00B226BA" w:rsidP="00CA114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Продолжается снос расселенных аварийных многоквартирных домов, так в 2015 году было снесено 13 домов.</w:t>
      </w:r>
    </w:p>
    <w:p w:rsidR="00B226BA" w:rsidRPr="00B226BA" w:rsidRDefault="001C7E2B" w:rsidP="00CA114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2015 году казенным</w:t>
      </w:r>
      <w:r w:rsidRPr="001C7E2B">
        <w:rPr>
          <w:rFonts w:ascii="Times New Roman" w:eastAsia="Times New Roman" w:hAnsi="Times New Roman" w:cs="Times New Roman"/>
          <w:sz w:val="26"/>
          <w:szCs w:val="26"/>
          <w:lang w:eastAsia="ru-RU"/>
        </w:rPr>
        <w:t xml:space="preserve"> учреждение</w:t>
      </w:r>
      <w:r>
        <w:rPr>
          <w:rFonts w:ascii="Times New Roman" w:eastAsia="Times New Roman" w:hAnsi="Times New Roman" w:cs="Times New Roman"/>
          <w:sz w:val="26"/>
          <w:szCs w:val="26"/>
          <w:lang w:eastAsia="ru-RU"/>
        </w:rPr>
        <w:t>м</w:t>
      </w:r>
      <w:r w:rsidRPr="001C7E2B">
        <w:rPr>
          <w:rFonts w:ascii="Times New Roman" w:eastAsia="Times New Roman" w:hAnsi="Times New Roman" w:cs="Times New Roman"/>
          <w:sz w:val="26"/>
          <w:szCs w:val="26"/>
          <w:lang w:eastAsia="ru-RU"/>
        </w:rPr>
        <w:t xml:space="preserve"> Ханты-Мансийского автономного округа – Югры «Когалымский центр занятости населения»</w:t>
      </w:r>
      <w:r>
        <w:rPr>
          <w:rFonts w:ascii="Times New Roman" w:eastAsia="Times New Roman" w:hAnsi="Times New Roman" w:cs="Times New Roman"/>
          <w:sz w:val="26"/>
          <w:szCs w:val="26"/>
          <w:lang w:eastAsia="ru-RU"/>
        </w:rPr>
        <w:t xml:space="preserve"> организовано и проведено 13 ярмарок вакантных рабочих мест, в которых приняло участие 11 работодателей и 458 человек. В результате проведения ярмарок трудоустроено 290 граждан.</w:t>
      </w:r>
    </w:p>
    <w:p w:rsidR="00757878" w:rsidRDefault="00757878" w:rsidP="00085F3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B3EE9" w:rsidRDefault="00CB3EE9" w:rsidP="00085F3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B3EE9">
        <w:rPr>
          <w:rFonts w:ascii="Times New Roman" w:eastAsia="Times New Roman" w:hAnsi="Times New Roman" w:cs="Times New Roman"/>
          <w:b/>
          <w:sz w:val="26"/>
          <w:szCs w:val="26"/>
          <w:lang w:eastAsia="ru-RU"/>
        </w:rPr>
        <w:t>3 мероприятия</w:t>
      </w:r>
      <w:r>
        <w:rPr>
          <w:rFonts w:ascii="Times New Roman" w:eastAsia="Times New Roman" w:hAnsi="Times New Roman" w:cs="Times New Roman"/>
          <w:sz w:val="26"/>
          <w:szCs w:val="26"/>
          <w:lang w:eastAsia="ru-RU"/>
        </w:rPr>
        <w:t xml:space="preserve"> запланированы к реализации в 2016-2019 годах:</w:t>
      </w:r>
    </w:p>
    <w:p w:rsidR="00CB3EE9" w:rsidRDefault="008E6EA0" w:rsidP="00085F3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 Создание специализированного двуязычного интернет-портала об инвестиционной деятельности в городе Когалыме.</w:t>
      </w:r>
    </w:p>
    <w:p w:rsidR="008E6EA0" w:rsidRDefault="008E6EA0" w:rsidP="00085F3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12.2. Строительство объекта «Средняя общеобразовательная школа в городе Когалыме».</w:t>
      </w:r>
    </w:p>
    <w:p w:rsidR="008E6EA0" w:rsidRDefault="008E6EA0" w:rsidP="00085F3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26.6. Строительство улицы Дорожников.</w:t>
      </w:r>
    </w:p>
    <w:p w:rsidR="00757878" w:rsidRDefault="00757878" w:rsidP="00085F3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757878" w:rsidRDefault="0023637F" w:rsidP="00085F3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 </w:t>
      </w:r>
      <w:r w:rsidRPr="0023637F">
        <w:rPr>
          <w:rFonts w:ascii="Times New Roman" w:eastAsia="Times New Roman" w:hAnsi="Times New Roman" w:cs="Times New Roman"/>
          <w:b/>
          <w:sz w:val="26"/>
          <w:szCs w:val="26"/>
          <w:lang w:eastAsia="ru-RU"/>
        </w:rPr>
        <w:t>6 мероприятиям</w:t>
      </w:r>
      <w:r>
        <w:rPr>
          <w:rFonts w:ascii="Times New Roman" w:eastAsia="Times New Roman" w:hAnsi="Times New Roman" w:cs="Times New Roman"/>
          <w:sz w:val="26"/>
          <w:szCs w:val="26"/>
          <w:lang w:eastAsia="ru-RU"/>
        </w:rPr>
        <w:t xml:space="preserve"> источником финансирования предусмотрены внебюджетные источники.</w:t>
      </w:r>
    </w:p>
    <w:p w:rsidR="0023637F" w:rsidRDefault="0023637F" w:rsidP="00085F3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7.1. Ввод в эксплуатацию объектов торговли, бытового обслуживания.</w:t>
      </w:r>
    </w:p>
    <w:p w:rsidR="0023637F" w:rsidRDefault="0023637F" w:rsidP="00085F3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637F">
        <w:rPr>
          <w:rFonts w:ascii="Times New Roman" w:eastAsia="Times New Roman" w:hAnsi="Times New Roman" w:cs="Times New Roman"/>
          <w:sz w:val="26"/>
          <w:szCs w:val="26"/>
          <w:lang w:eastAsia="ru-RU"/>
        </w:rPr>
        <w:t xml:space="preserve">В 2015 году в городе открылся большой торговый центр «Лайм». </w:t>
      </w:r>
      <w:r>
        <w:rPr>
          <w:rFonts w:ascii="Times New Roman" w:eastAsia="Times New Roman" w:hAnsi="Times New Roman" w:cs="Times New Roman"/>
          <w:sz w:val="26"/>
          <w:szCs w:val="26"/>
          <w:lang w:eastAsia="ru-RU"/>
        </w:rPr>
        <w:t>Объект строился за счет средств предпринимателя, в связи с чем данные об объеме финансирования в Администрации города Когалыма отсутствуют.</w:t>
      </w:r>
    </w:p>
    <w:p w:rsidR="0023637F" w:rsidRDefault="0023637F" w:rsidP="00085F3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637F">
        <w:rPr>
          <w:rFonts w:ascii="Times New Roman" w:eastAsia="Times New Roman" w:hAnsi="Times New Roman" w:cs="Times New Roman"/>
          <w:sz w:val="26"/>
          <w:szCs w:val="26"/>
          <w:lang w:eastAsia="ru-RU"/>
        </w:rPr>
        <w:t>Обеспеченность торговыми площадями по состоянию на 1 января 2016 года составила 71%, к нормативу (641 кв. метр на 1000 жителей). Несмотря на открытие новых торговых центров, увеличен</w:t>
      </w:r>
      <w:r>
        <w:rPr>
          <w:rFonts w:ascii="Times New Roman" w:eastAsia="Times New Roman" w:hAnsi="Times New Roman" w:cs="Times New Roman"/>
          <w:sz w:val="26"/>
          <w:szCs w:val="26"/>
          <w:lang w:eastAsia="ru-RU"/>
        </w:rPr>
        <w:t>и</w:t>
      </w:r>
      <w:r w:rsidRPr="0023637F">
        <w:rPr>
          <w:rFonts w:ascii="Times New Roman" w:eastAsia="Times New Roman" w:hAnsi="Times New Roman" w:cs="Times New Roman"/>
          <w:sz w:val="26"/>
          <w:szCs w:val="26"/>
          <w:lang w:eastAsia="ru-RU"/>
        </w:rPr>
        <w:t>е обеспеченности торговыми площадями не происходит в связи с</w:t>
      </w:r>
      <w:r>
        <w:rPr>
          <w:rFonts w:ascii="Times New Roman" w:eastAsia="Times New Roman" w:hAnsi="Times New Roman" w:cs="Times New Roman"/>
          <w:sz w:val="26"/>
          <w:szCs w:val="26"/>
          <w:lang w:eastAsia="ru-RU"/>
        </w:rPr>
        <w:t xml:space="preserve"> ростом численности населения. </w:t>
      </w:r>
    </w:p>
    <w:p w:rsidR="006B7D66" w:rsidRDefault="006B7D66" w:rsidP="00085F3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E3EFB">
        <w:rPr>
          <w:rFonts w:ascii="Times New Roman" w:eastAsia="Times New Roman" w:hAnsi="Times New Roman" w:cs="Times New Roman"/>
          <w:sz w:val="26"/>
          <w:szCs w:val="26"/>
          <w:lang w:eastAsia="ru-RU"/>
        </w:rPr>
        <w:t>7.2. Организация и проведение современных форматов торговли, сельскохозяйственных рынков и ярмарок.</w:t>
      </w:r>
    </w:p>
    <w:p w:rsidR="009C4C4C" w:rsidRDefault="009C4C4C" w:rsidP="006B7D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C4C4C">
        <w:rPr>
          <w:rFonts w:ascii="Times New Roman" w:eastAsia="Times New Roman" w:hAnsi="Times New Roman" w:cs="Times New Roman"/>
          <w:sz w:val="26"/>
          <w:szCs w:val="26"/>
          <w:lang w:eastAsia="ru-RU"/>
        </w:rPr>
        <w:t>На развитие инфраструктуры потребительского рынка существенное влияние оказывает конкуренция на рынке торговых услуг. В городе внедряются новые стандарты и технологии, связанные с сетевыми формами организации торгового обслуживания. На сегодняшний день в городе Когалыме осуществляют свою деятельность магазины федерального значения – это магазин «Магнит», «DNS», «Монетка», салон «Евросеть» и «Связной».</w:t>
      </w:r>
    </w:p>
    <w:p w:rsidR="009C4C4C" w:rsidRPr="009C4C4C" w:rsidRDefault="009C4C4C" w:rsidP="009C4C4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C4C4C">
        <w:rPr>
          <w:rFonts w:ascii="Times New Roman" w:eastAsia="Times New Roman" w:hAnsi="Times New Roman" w:cs="Times New Roman"/>
          <w:sz w:val="26"/>
          <w:szCs w:val="26"/>
          <w:lang w:eastAsia="ru-RU"/>
        </w:rPr>
        <w:t xml:space="preserve">Работают и несколько региональных сетевых магазинов. Одной из разновидностей форм торговли выступает франчайзинг (использование известной торговой марки для перепродажи). В Когалыме – это «Сибирское золото», «585», универсамы «Росич». </w:t>
      </w:r>
    </w:p>
    <w:p w:rsidR="006B7D66" w:rsidRPr="006B7D66" w:rsidRDefault="006B7D66" w:rsidP="006B7D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B7D66">
        <w:rPr>
          <w:rFonts w:ascii="Times New Roman" w:eastAsia="Times New Roman" w:hAnsi="Times New Roman" w:cs="Times New Roman"/>
          <w:sz w:val="26"/>
          <w:szCs w:val="26"/>
          <w:lang w:eastAsia="ru-RU"/>
        </w:rPr>
        <w:t>В городе Когалыме функционирует одна постоянно действующая ярмарка (фермерские ряды, реализующие сельскохозяйственную продукцию), а также ярмарки выходного дня (пятница, суббота, воскресенье).</w:t>
      </w:r>
    </w:p>
    <w:p w:rsidR="006B7D66" w:rsidRPr="006B7D66" w:rsidRDefault="006B7D66" w:rsidP="006B7D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B7D66">
        <w:rPr>
          <w:rFonts w:ascii="Times New Roman" w:eastAsia="Times New Roman" w:hAnsi="Times New Roman" w:cs="Times New Roman"/>
          <w:sz w:val="26"/>
          <w:szCs w:val="26"/>
          <w:lang w:eastAsia="ru-RU"/>
        </w:rPr>
        <w:t>В отчетном периоде 2015 года в городе Когалыме проведены 8 ярмарок-выс</w:t>
      </w:r>
      <w:r>
        <w:rPr>
          <w:rFonts w:ascii="Times New Roman" w:eastAsia="Times New Roman" w:hAnsi="Times New Roman" w:cs="Times New Roman"/>
          <w:sz w:val="26"/>
          <w:szCs w:val="26"/>
          <w:lang w:eastAsia="ru-RU"/>
        </w:rPr>
        <w:t>тавок, 8 ярмарок выходного дня.</w:t>
      </w:r>
    </w:p>
    <w:p w:rsidR="006B7D66" w:rsidRDefault="006B7D66" w:rsidP="006B7D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B7D66">
        <w:rPr>
          <w:rFonts w:ascii="Times New Roman" w:eastAsia="Times New Roman" w:hAnsi="Times New Roman" w:cs="Times New Roman"/>
          <w:sz w:val="26"/>
          <w:szCs w:val="26"/>
          <w:lang w:eastAsia="ru-RU"/>
        </w:rPr>
        <w:t>Дополнительно, в целях расширения межрегиональных партнерских отношений и развития торгово-экономического сотрудничества Администрацией города Когалыма при содействии Департамента агропромышленного комплекса Тюменской области организованы и успешно проведены 4 сельскохозяйственные ярмарки тюменских товаропроизводителей. Всего в рамках данных ярмарок было реализовано 167,5 тонн продукции на сумму 8 268,1 тыс. рублей.</w:t>
      </w:r>
    </w:p>
    <w:p w:rsidR="0083679D" w:rsidRDefault="00EA4C2C" w:rsidP="00085F3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Для строительства нижеперечисленных объектов необходимо привлечение внебюджетных источников. </w:t>
      </w:r>
    </w:p>
    <w:p w:rsidR="0023637F" w:rsidRDefault="00C209F6" w:rsidP="00085F3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17.1. Строительство физкультурно-спортивного комплекса на 648 кв. м общей площади с бассейном на 1 250 кв. м зеркала воды запланировано в 2019 году.</w:t>
      </w:r>
    </w:p>
    <w:p w:rsidR="00C209F6" w:rsidRDefault="00C209F6" w:rsidP="00085F3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23.3. Строительство офисного центра запланировано в 2019 году.</w:t>
      </w:r>
    </w:p>
    <w:p w:rsidR="00C209F6" w:rsidRPr="00EA4C2C" w:rsidRDefault="00C209F6" w:rsidP="00C209F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A4C2C">
        <w:rPr>
          <w:rFonts w:ascii="Times New Roman" w:eastAsia="Times New Roman" w:hAnsi="Times New Roman" w:cs="Times New Roman"/>
          <w:sz w:val="26"/>
          <w:szCs w:val="26"/>
          <w:lang w:eastAsia="ru-RU"/>
        </w:rPr>
        <w:t>23.4 Строительство парка аттракционов.</w:t>
      </w:r>
    </w:p>
    <w:p w:rsidR="00C209F6" w:rsidRPr="00EA4C2C" w:rsidRDefault="00C209F6" w:rsidP="00C209F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A4C2C">
        <w:rPr>
          <w:rFonts w:ascii="Times New Roman" w:eastAsia="Times New Roman" w:hAnsi="Times New Roman" w:cs="Times New Roman"/>
          <w:sz w:val="26"/>
          <w:szCs w:val="26"/>
          <w:lang w:eastAsia="ru-RU"/>
        </w:rPr>
        <w:t xml:space="preserve">В рамках разработанного проекта планировки и межевания поселка Пионерный определено место под размещение парка аттракционов. Требуется разработка проекта под строительство парка аттракционов в городе Когалыме. </w:t>
      </w:r>
    </w:p>
    <w:p w:rsidR="00C209F6" w:rsidRPr="00EA4C2C" w:rsidRDefault="00C209F6" w:rsidP="00C209F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A4C2C">
        <w:rPr>
          <w:rFonts w:ascii="Times New Roman" w:eastAsia="Times New Roman" w:hAnsi="Times New Roman" w:cs="Times New Roman"/>
          <w:sz w:val="26"/>
          <w:szCs w:val="26"/>
          <w:lang w:eastAsia="ru-RU"/>
        </w:rPr>
        <w:t>23.5. Строительство городской площади.</w:t>
      </w:r>
    </w:p>
    <w:p w:rsidR="00C209F6" w:rsidRDefault="00C209F6" w:rsidP="00C209F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EA4C2C">
        <w:rPr>
          <w:rFonts w:ascii="Times New Roman" w:eastAsia="Times New Roman" w:hAnsi="Times New Roman" w:cs="Times New Roman"/>
          <w:sz w:val="26"/>
          <w:szCs w:val="26"/>
          <w:lang w:eastAsia="ru-RU"/>
        </w:rPr>
        <w:t>В рамках разработанного проекта планировки и межевания поселка Пионерный определено место под размещение городской площади. Требуется разработка проекта под строительство городской площади в городе Когалыме.</w:t>
      </w:r>
    </w:p>
    <w:p w:rsidR="0083679D" w:rsidRDefault="0083679D" w:rsidP="0083679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 сегодняшний день в бюджете города Когалыма средств</w:t>
      </w:r>
      <w:r w:rsidR="006D5082">
        <w:rPr>
          <w:rFonts w:ascii="Times New Roman" w:eastAsia="Times New Roman" w:hAnsi="Times New Roman" w:cs="Times New Roman"/>
          <w:sz w:val="26"/>
          <w:szCs w:val="26"/>
          <w:lang w:eastAsia="ru-RU"/>
        </w:rPr>
        <w:t>а</w:t>
      </w:r>
      <w:r>
        <w:rPr>
          <w:rFonts w:ascii="Times New Roman" w:eastAsia="Times New Roman" w:hAnsi="Times New Roman" w:cs="Times New Roman"/>
          <w:sz w:val="26"/>
          <w:szCs w:val="26"/>
          <w:lang w:eastAsia="ru-RU"/>
        </w:rPr>
        <w:t xml:space="preserve"> </w:t>
      </w:r>
      <w:r w:rsidR="006D5082">
        <w:rPr>
          <w:rFonts w:ascii="Times New Roman" w:eastAsia="Times New Roman" w:hAnsi="Times New Roman" w:cs="Times New Roman"/>
          <w:sz w:val="26"/>
          <w:szCs w:val="26"/>
          <w:lang w:eastAsia="ru-RU"/>
        </w:rPr>
        <w:t>на строительство новых объектов отсутствуют. Но не включать данные объекты в План мероприятий нельзя, мы должны стремиться к достижению запланированных результатов.</w:t>
      </w:r>
    </w:p>
    <w:p w:rsidR="007B2D87" w:rsidRDefault="007B2D87" w:rsidP="00085F3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B2D87">
        <w:rPr>
          <w:rFonts w:ascii="Times New Roman" w:eastAsia="Times New Roman" w:hAnsi="Times New Roman" w:cs="Times New Roman"/>
          <w:b/>
          <w:sz w:val="26"/>
          <w:szCs w:val="26"/>
          <w:lang w:eastAsia="ru-RU"/>
        </w:rPr>
        <w:t>1 мероприятия</w:t>
      </w:r>
      <w:r>
        <w:rPr>
          <w:rFonts w:ascii="Times New Roman" w:eastAsia="Times New Roman" w:hAnsi="Times New Roman" w:cs="Times New Roman"/>
          <w:sz w:val="26"/>
          <w:szCs w:val="26"/>
          <w:lang w:eastAsia="ru-RU"/>
        </w:rPr>
        <w:t xml:space="preserve"> не исполнено по объективным причинам.</w:t>
      </w:r>
    </w:p>
    <w:p w:rsidR="00361AFF" w:rsidRDefault="00361AFF" w:rsidP="00085F3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12.3. </w:t>
      </w:r>
      <w:r w:rsidRPr="00361AFF">
        <w:rPr>
          <w:rFonts w:ascii="Times New Roman" w:eastAsia="Times New Roman" w:hAnsi="Times New Roman" w:cs="Times New Roman"/>
          <w:sz w:val="26"/>
          <w:szCs w:val="26"/>
          <w:lang w:eastAsia="ru-RU"/>
        </w:rPr>
        <w:t>Многофункциональный центр прикладных квалификаций по подготовке персонала на базе бюджетного профессионального образования автономного округа «Когалымский политехнический колледж» в городе Когалыме (Общежитие кампусного типа на 100 мест)</w:t>
      </w:r>
      <w:r>
        <w:rPr>
          <w:rFonts w:ascii="Times New Roman" w:eastAsia="Times New Roman" w:hAnsi="Times New Roman" w:cs="Times New Roman"/>
          <w:sz w:val="26"/>
          <w:szCs w:val="26"/>
          <w:lang w:eastAsia="ru-RU"/>
        </w:rPr>
        <w:t>.</w:t>
      </w:r>
    </w:p>
    <w:p w:rsidR="00361AFF" w:rsidRDefault="00361AFF" w:rsidP="00085F3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61AFF">
        <w:rPr>
          <w:rFonts w:ascii="Times New Roman" w:eastAsia="Times New Roman" w:hAnsi="Times New Roman" w:cs="Times New Roman"/>
          <w:sz w:val="26"/>
          <w:szCs w:val="26"/>
          <w:lang w:eastAsia="ru-RU"/>
        </w:rPr>
        <w:t xml:space="preserve">Координатором работ по данному объекту является Казенное учреждение ХМАО - Югры </w:t>
      </w:r>
      <w:r w:rsidR="00F92472">
        <w:rPr>
          <w:rFonts w:ascii="Times New Roman" w:eastAsia="Times New Roman" w:hAnsi="Times New Roman" w:cs="Times New Roman"/>
          <w:sz w:val="26"/>
          <w:szCs w:val="26"/>
          <w:lang w:eastAsia="ru-RU"/>
        </w:rPr>
        <w:t>«</w:t>
      </w:r>
      <w:r w:rsidRPr="00361AFF">
        <w:rPr>
          <w:rFonts w:ascii="Times New Roman" w:eastAsia="Times New Roman" w:hAnsi="Times New Roman" w:cs="Times New Roman"/>
          <w:sz w:val="26"/>
          <w:szCs w:val="26"/>
          <w:lang w:eastAsia="ru-RU"/>
        </w:rPr>
        <w:t>Управл</w:t>
      </w:r>
      <w:r w:rsidR="00F92472">
        <w:rPr>
          <w:rFonts w:ascii="Times New Roman" w:eastAsia="Times New Roman" w:hAnsi="Times New Roman" w:cs="Times New Roman"/>
          <w:sz w:val="26"/>
          <w:szCs w:val="26"/>
          <w:lang w:eastAsia="ru-RU"/>
        </w:rPr>
        <w:t>ение капитального строительства»</w:t>
      </w:r>
      <w:r w:rsidRPr="00361AFF">
        <w:rPr>
          <w:rFonts w:ascii="Times New Roman" w:eastAsia="Times New Roman" w:hAnsi="Times New Roman" w:cs="Times New Roman"/>
          <w:sz w:val="26"/>
          <w:szCs w:val="26"/>
          <w:lang w:eastAsia="ru-RU"/>
        </w:rPr>
        <w:t xml:space="preserve"> (далее - КУ </w:t>
      </w:r>
      <w:r w:rsidR="00F92472">
        <w:rPr>
          <w:rFonts w:ascii="Times New Roman" w:eastAsia="Times New Roman" w:hAnsi="Times New Roman" w:cs="Times New Roman"/>
          <w:sz w:val="26"/>
          <w:szCs w:val="26"/>
          <w:lang w:eastAsia="ru-RU"/>
        </w:rPr>
        <w:t>«</w:t>
      </w:r>
      <w:r w:rsidRPr="00361AFF">
        <w:rPr>
          <w:rFonts w:ascii="Times New Roman" w:eastAsia="Times New Roman" w:hAnsi="Times New Roman" w:cs="Times New Roman"/>
          <w:sz w:val="26"/>
          <w:szCs w:val="26"/>
          <w:lang w:eastAsia="ru-RU"/>
        </w:rPr>
        <w:t>УКС Югры</w:t>
      </w:r>
      <w:r w:rsidR="00F92472">
        <w:rPr>
          <w:rFonts w:ascii="Times New Roman" w:eastAsia="Times New Roman" w:hAnsi="Times New Roman" w:cs="Times New Roman"/>
          <w:sz w:val="26"/>
          <w:szCs w:val="26"/>
          <w:lang w:eastAsia="ru-RU"/>
        </w:rPr>
        <w:t>»</w:t>
      </w:r>
      <w:r w:rsidRPr="00361AFF">
        <w:rPr>
          <w:rFonts w:ascii="Times New Roman" w:eastAsia="Times New Roman" w:hAnsi="Times New Roman" w:cs="Times New Roman"/>
          <w:sz w:val="26"/>
          <w:szCs w:val="26"/>
          <w:lang w:eastAsia="ru-RU"/>
        </w:rPr>
        <w:t>). В связи с тем</w:t>
      </w:r>
      <w:r>
        <w:rPr>
          <w:rFonts w:ascii="Times New Roman" w:eastAsia="Times New Roman" w:hAnsi="Times New Roman" w:cs="Times New Roman"/>
          <w:sz w:val="26"/>
          <w:szCs w:val="26"/>
          <w:lang w:eastAsia="ru-RU"/>
        </w:rPr>
        <w:t>,</w:t>
      </w:r>
      <w:r w:rsidRPr="00361AFF">
        <w:rPr>
          <w:rFonts w:ascii="Times New Roman" w:eastAsia="Times New Roman" w:hAnsi="Times New Roman" w:cs="Times New Roman"/>
          <w:sz w:val="26"/>
          <w:szCs w:val="26"/>
          <w:lang w:eastAsia="ru-RU"/>
        </w:rPr>
        <w:t xml:space="preserve"> что контракт на выполнение проектно</w:t>
      </w:r>
      <w:r>
        <w:rPr>
          <w:rFonts w:ascii="Times New Roman" w:eastAsia="Times New Roman" w:hAnsi="Times New Roman" w:cs="Times New Roman"/>
          <w:sz w:val="26"/>
          <w:szCs w:val="26"/>
          <w:lang w:eastAsia="ru-RU"/>
        </w:rPr>
        <w:t>-</w:t>
      </w:r>
      <w:r w:rsidRPr="00361AFF">
        <w:rPr>
          <w:rFonts w:ascii="Times New Roman" w:eastAsia="Times New Roman" w:hAnsi="Times New Roman" w:cs="Times New Roman"/>
          <w:sz w:val="26"/>
          <w:szCs w:val="26"/>
          <w:lang w:eastAsia="ru-RU"/>
        </w:rPr>
        <w:t>изыскательских работ был заключен 4 декабря 2015 года (завершение работ-декабрь 2016 года) освоение финансовых средств в 2015 году не осуществлялось. Плановые объемы бюджетных ассигнований средств бюджета автономного округа на 2016 год будут откорректированы с учетом оставшихся средств 2015 года.</w:t>
      </w:r>
    </w:p>
    <w:p w:rsidR="00361AFF" w:rsidRDefault="00361AFF" w:rsidP="00085F3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F24826" w:rsidRDefault="00F24826" w:rsidP="00F2482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Реализация Плана мероприятий предполагает проведение сравнительного анализа его результативности, посредством определения степени достижения запланированных значений целевых показателей (индикаторов) с фактически сложившимися.</w:t>
      </w:r>
    </w:p>
    <w:p w:rsidR="00F24826" w:rsidRDefault="00F24826" w:rsidP="00F2482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Так, Планом мероприятий предусмотрено достижение 1</w:t>
      </w:r>
      <w:r w:rsidR="004A65CF">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 xml:space="preserve"> целевых показателей, из них:</w:t>
      </w:r>
    </w:p>
    <w:p w:rsidR="00F24826" w:rsidRDefault="00F24826" w:rsidP="00F2482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24826">
        <w:rPr>
          <w:rFonts w:ascii="Times New Roman" w:eastAsia="Times New Roman" w:hAnsi="Times New Roman" w:cs="Times New Roman"/>
          <w:b/>
          <w:sz w:val="26"/>
          <w:szCs w:val="26"/>
          <w:lang w:eastAsia="ru-RU"/>
        </w:rPr>
        <w:t>9 показателей</w:t>
      </w:r>
      <w:r>
        <w:rPr>
          <w:rFonts w:ascii="Times New Roman" w:eastAsia="Times New Roman" w:hAnsi="Times New Roman" w:cs="Times New Roman"/>
          <w:sz w:val="26"/>
          <w:szCs w:val="26"/>
          <w:lang w:eastAsia="ru-RU"/>
        </w:rPr>
        <w:t xml:space="preserve"> выполнены </w:t>
      </w:r>
      <w:r w:rsidRPr="00F24826">
        <w:rPr>
          <w:rFonts w:ascii="Times New Roman" w:eastAsia="Times New Roman" w:hAnsi="Times New Roman" w:cs="Times New Roman"/>
          <w:b/>
          <w:sz w:val="26"/>
          <w:szCs w:val="26"/>
          <w:lang w:eastAsia="ru-RU"/>
        </w:rPr>
        <w:t>на 100% и выше</w:t>
      </w:r>
      <w:r>
        <w:rPr>
          <w:rFonts w:ascii="Times New Roman" w:eastAsia="Times New Roman" w:hAnsi="Times New Roman" w:cs="Times New Roman"/>
          <w:sz w:val="26"/>
          <w:szCs w:val="26"/>
          <w:lang w:eastAsia="ru-RU"/>
        </w:rPr>
        <w:t>;</w:t>
      </w:r>
    </w:p>
    <w:p w:rsidR="00F24826" w:rsidRDefault="00F24826" w:rsidP="00F2482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24826">
        <w:rPr>
          <w:rFonts w:ascii="Times New Roman" w:eastAsia="Times New Roman" w:hAnsi="Times New Roman" w:cs="Times New Roman"/>
          <w:b/>
          <w:sz w:val="26"/>
          <w:szCs w:val="26"/>
          <w:lang w:eastAsia="ru-RU"/>
        </w:rPr>
        <w:t>4 показателя</w:t>
      </w:r>
      <w:r>
        <w:rPr>
          <w:rFonts w:ascii="Times New Roman" w:eastAsia="Times New Roman" w:hAnsi="Times New Roman" w:cs="Times New Roman"/>
          <w:sz w:val="26"/>
          <w:szCs w:val="26"/>
          <w:lang w:eastAsia="ru-RU"/>
        </w:rPr>
        <w:t xml:space="preserve"> выполнены </w:t>
      </w:r>
      <w:r w:rsidRPr="00F24826">
        <w:rPr>
          <w:rFonts w:ascii="Times New Roman" w:eastAsia="Times New Roman" w:hAnsi="Times New Roman" w:cs="Times New Roman"/>
          <w:b/>
          <w:sz w:val="26"/>
          <w:szCs w:val="26"/>
          <w:lang w:eastAsia="ru-RU"/>
        </w:rPr>
        <w:t>от 70% до 100%:</w:t>
      </w:r>
    </w:p>
    <w:p w:rsidR="00F24826" w:rsidRDefault="00F24826" w:rsidP="00F2482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объем отгруженных товаров собственного производства, выполненных работ и услуг по полному кругу предприятий – показатель достигнут на 97,5%</w:t>
      </w:r>
      <w:r w:rsidR="001413AF">
        <w:rPr>
          <w:rFonts w:ascii="Times New Roman" w:eastAsia="Times New Roman" w:hAnsi="Times New Roman" w:cs="Times New Roman"/>
          <w:sz w:val="26"/>
          <w:szCs w:val="26"/>
          <w:lang w:eastAsia="ru-RU"/>
        </w:rPr>
        <w:t>.</w:t>
      </w:r>
    </w:p>
    <w:p w:rsidR="001413AF" w:rsidRDefault="001413AF" w:rsidP="00F2482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Несмотря на то, что плановый показатель не достигнут наблюдается увеличение показателя по отношению к 2014 году. Данное увеличение </w:t>
      </w:r>
      <w:r w:rsidRPr="001413AF">
        <w:rPr>
          <w:rFonts w:ascii="Times New Roman" w:eastAsia="Times New Roman" w:hAnsi="Times New Roman" w:cs="Times New Roman"/>
          <w:sz w:val="26"/>
          <w:szCs w:val="26"/>
          <w:lang w:eastAsia="ru-RU"/>
        </w:rPr>
        <w:t xml:space="preserve">обусловлено значительным ростом объема отгруженных товаров в обрабатывающем производстве, а именно по виду деятельности </w:t>
      </w:r>
      <w:r>
        <w:rPr>
          <w:rFonts w:ascii="Times New Roman" w:eastAsia="Times New Roman" w:hAnsi="Times New Roman" w:cs="Times New Roman"/>
          <w:sz w:val="26"/>
          <w:szCs w:val="26"/>
          <w:lang w:eastAsia="ru-RU"/>
        </w:rPr>
        <w:t>«</w:t>
      </w:r>
      <w:r w:rsidRPr="001413AF">
        <w:rPr>
          <w:rFonts w:ascii="Times New Roman" w:eastAsia="Times New Roman" w:hAnsi="Times New Roman" w:cs="Times New Roman"/>
          <w:sz w:val="26"/>
          <w:szCs w:val="26"/>
          <w:lang w:eastAsia="ru-RU"/>
        </w:rPr>
        <w:t>Производство кокса и нефтепродуктов</w:t>
      </w:r>
      <w:r>
        <w:rPr>
          <w:rFonts w:ascii="Times New Roman" w:eastAsia="Times New Roman" w:hAnsi="Times New Roman" w:cs="Times New Roman"/>
          <w:sz w:val="26"/>
          <w:szCs w:val="26"/>
          <w:lang w:eastAsia="ru-RU"/>
        </w:rPr>
        <w:t>»</w:t>
      </w:r>
      <w:r w:rsidRPr="001413AF">
        <w:rPr>
          <w:rFonts w:ascii="Times New Roman" w:eastAsia="Times New Roman" w:hAnsi="Times New Roman" w:cs="Times New Roman"/>
          <w:sz w:val="26"/>
          <w:szCs w:val="26"/>
          <w:lang w:eastAsia="ru-RU"/>
        </w:rPr>
        <w:t xml:space="preserve">. Объем отгруженных товаров, выполненных работ и услуг по данному виду деятельности превышает уровень 2014 года в 1,8 раза в действующих ценах. Также значительную роль сыграло увеличением добычи нефти в 2015 году по сравнению с 2014 годом (запуск </w:t>
      </w:r>
      <w:proofErr w:type="spellStart"/>
      <w:r w:rsidRPr="001413AF">
        <w:rPr>
          <w:rFonts w:ascii="Times New Roman" w:eastAsia="Times New Roman" w:hAnsi="Times New Roman" w:cs="Times New Roman"/>
          <w:sz w:val="26"/>
          <w:szCs w:val="26"/>
          <w:lang w:eastAsia="ru-RU"/>
        </w:rPr>
        <w:t>Имилорского</w:t>
      </w:r>
      <w:proofErr w:type="spellEnd"/>
      <w:r w:rsidRPr="001413AF">
        <w:rPr>
          <w:rFonts w:ascii="Times New Roman" w:eastAsia="Times New Roman" w:hAnsi="Times New Roman" w:cs="Times New Roman"/>
          <w:sz w:val="26"/>
          <w:szCs w:val="26"/>
          <w:lang w:eastAsia="ru-RU"/>
        </w:rPr>
        <w:t xml:space="preserve"> месторождения).</w:t>
      </w:r>
    </w:p>
    <w:p w:rsidR="00F24826" w:rsidRDefault="00F24826" w:rsidP="00F2482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среднемесячная номинальная начисленная заработная плата работников организаций – показатель достигнут на 96,2%.</w:t>
      </w:r>
    </w:p>
    <w:p w:rsidR="00A73721" w:rsidRDefault="00A73721" w:rsidP="00F2482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73721">
        <w:rPr>
          <w:rFonts w:ascii="Times New Roman" w:eastAsia="Times New Roman" w:hAnsi="Times New Roman" w:cs="Times New Roman"/>
          <w:sz w:val="26"/>
          <w:szCs w:val="26"/>
          <w:lang w:eastAsia="ru-RU"/>
        </w:rPr>
        <w:t>В сложившихся экономических условиях многими предприятиями, в целях сохранения эффективной работы в дальнейшем, были пересмотрены в сторону уменьшения</w:t>
      </w:r>
      <w:r w:rsidR="00B32460">
        <w:rPr>
          <w:rFonts w:ascii="Times New Roman" w:eastAsia="Times New Roman" w:hAnsi="Times New Roman" w:cs="Times New Roman"/>
          <w:sz w:val="26"/>
          <w:szCs w:val="26"/>
          <w:lang w:eastAsia="ru-RU"/>
        </w:rPr>
        <w:t>,</w:t>
      </w:r>
      <w:r w:rsidRPr="00A73721">
        <w:rPr>
          <w:rFonts w:ascii="Times New Roman" w:eastAsia="Times New Roman" w:hAnsi="Times New Roman" w:cs="Times New Roman"/>
          <w:sz w:val="26"/>
          <w:szCs w:val="26"/>
          <w:lang w:eastAsia="ru-RU"/>
        </w:rPr>
        <w:t xml:space="preserve"> планируемые ранее к реализации расходы, в том числе и на увеличен</w:t>
      </w:r>
      <w:r w:rsidR="00B32460">
        <w:rPr>
          <w:rFonts w:ascii="Times New Roman" w:eastAsia="Times New Roman" w:hAnsi="Times New Roman" w:cs="Times New Roman"/>
          <w:sz w:val="26"/>
          <w:szCs w:val="26"/>
          <w:lang w:eastAsia="ru-RU"/>
        </w:rPr>
        <w:t>ие заработной платы. Но даже не</w:t>
      </w:r>
      <w:r w:rsidRPr="00A73721">
        <w:rPr>
          <w:rFonts w:ascii="Times New Roman" w:eastAsia="Times New Roman" w:hAnsi="Times New Roman" w:cs="Times New Roman"/>
          <w:sz w:val="26"/>
          <w:szCs w:val="26"/>
          <w:lang w:eastAsia="ru-RU"/>
        </w:rPr>
        <w:t>смотря на это в целом в 2015 году отмечается рост среднемесячной заработной платы работников предприятий и организаций города по отношению к 2014 году.</w:t>
      </w:r>
    </w:p>
    <w:p w:rsidR="00F24826" w:rsidRDefault="00F24826" w:rsidP="00F2482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обеспеченность дошкольными образовательными организациями – показатель достигнут на 97,1%.</w:t>
      </w:r>
    </w:p>
    <w:p w:rsidR="008161B1" w:rsidRDefault="008161B1" w:rsidP="00F2482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Обеспеченность дошкольными образовательными организациями в 2015 году составила 83% к нормативу и осталась на уровне 2014 года.</w:t>
      </w:r>
    </w:p>
    <w:p w:rsidR="00F24826" w:rsidRDefault="00F24826" w:rsidP="00F2482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обеспеченность учреждениями культуры клубного типа – показатель достигнут на 99,4%.</w:t>
      </w:r>
    </w:p>
    <w:p w:rsidR="008161B1" w:rsidRDefault="008161B1" w:rsidP="00F2482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161B1">
        <w:rPr>
          <w:rFonts w:ascii="Times New Roman" w:eastAsia="Times New Roman" w:hAnsi="Times New Roman" w:cs="Times New Roman"/>
          <w:sz w:val="26"/>
          <w:szCs w:val="26"/>
          <w:lang w:eastAsia="ru-RU"/>
        </w:rPr>
        <w:t>Снижение уровня обеспеченности учреждениями культуры клубного типа связано с увеличением численности населения и сохранением количества зрительских мест в учреждения</w:t>
      </w:r>
      <w:r>
        <w:rPr>
          <w:rFonts w:ascii="Times New Roman" w:eastAsia="Times New Roman" w:hAnsi="Times New Roman" w:cs="Times New Roman"/>
          <w:sz w:val="26"/>
          <w:szCs w:val="26"/>
          <w:lang w:eastAsia="ru-RU"/>
        </w:rPr>
        <w:t>х</w:t>
      </w:r>
      <w:r w:rsidRPr="008161B1">
        <w:rPr>
          <w:rFonts w:ascii="Times New Roman" w:eastAsia="Times New Roman" w:hAnsi="Times New Roman" w:cs="Times New Roman"/>
          <w:sz w:val="26"/>
          <w:szCs w:val="26"/>
          <w:lang w:eastAsia="ru-RU"/>
        </w:rPr>
        <w:t xml:space="preserve"> культуры на уровне 1 370 мест на протяжении ряда лет.</w:t>
      </w:r>
    </w:p>
    <w:p w:rsidR="00F24826" w:rsidRDefault="00F24826" w:rsidP="00F2482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CB5041" w:rsidRDefault="004A65CF" w:rsidP="00F2482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A65CF">
        <w:rPr>
          <w:rFonts w:ascii="Times New Roman" w:eastAsia="Times New Roman" w:hAnsi="Times New Roman" w:cs="Times New Roman"/>
          <w:b/>
          <w:sz w:val="26"/>
          <w:szCs w:val="26"/>
          <w:lang w:eastAsia="ru-RU"/>
        </w:rPr>
        <w:t>1 показатель</w:t>
      </w:r>
      <w:r w:rsidR="00CB5041">
        <w:rPr>
          <w:rFonts w:ascii="Times New Roman" w:eastAsia="Times New Roman" w:hAnsi="Times New Roman" w:cs="Times New Roman"/>
          <w:sz w:val="26"/>
          <w:szCs w:val="26"/>
          <w:lang w:eastAsia="ru-RU"/>
        </w:rPr>
        <w:t xml:space="preserve"> не достигнут:</w:t>
      </w:r>
    </w:p>
    <w:p w:rsidR="001B2AD2" w:rsidRDefault="00CB5041" w:rsidP="00F2482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4A65CF">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уровень ре</w:t>
      </w:r>
      <w:r w:rsidR="001B2AD2">
        <w:rPr>
          <w:rFonts w:ascii="Times New Roman" w:eastAsia="Times New Roman" w:hAnsi="Times New Roman" w:cs="Times New Roman"/>
          <w:sz w:val="26"/>
          <w:szCs w:val="26"/>
          <w:lang w:eastAsia="ru-RU"/>
        </w:rPr>
        <w:t>гистрируемой безработицы, %.</w:t>
      </w:r>
    </w:p>
    <w:p w:rsidR="004A65CF" w:rsidRDefault="001B2AD2" w:rsidP="00F2482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w:t>
      </w:r>
      <w:r w:rsidR="00CB5041">
        <w:rPr>
          <w:rFonts w:ascii="Times New Roman" w:eastAsia="Times New Roman" w:hAnsi="Times New Roman" w:cs="Times New Roman"/>
          <w:sz w:val="26"/>
          <w:szCs w:val="26"/>
          <w:lang w:eastAsia="ru-RU"/>
        </w:rPr>
        <w:t>ри плане 0,38% показатель в 2015 году составил 0,52%.</w:t>
      </w:r>
    </w:p>
    <w:p w:rsidR="00CB5041" w:rsidRPr="00CB5041" w:rsidRDefault="00CB5041" w:rsidP="00F24826">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Данный п</w:t>
      </w:r>
      <w:r w:rsidRPr="00CB5041">
        <w:rPr>
          <w:rFonts w:ascii="Times New Roman" w:hAnsi="Times New Roman"/>
          <w:sz w:val="26"/>
          <w:szCs w:val="26"/>
        </w:rPr>
        <w:t>оказатель отражает отношение официально зарегистрированных безработных граждан к численности</w:t>
      </w:r>
      <w:r w:rsidR="00053218">
        <w:rPr>
          <w:rFonts w:ascii="Times New Roman" w:hAnsi="Times New Roman"/>
          <w:sz w:val="26"/>
          <w:szCs w:val="26"/>
        </w:rPr>
        <w:t xml:space="preserve"> </w:t>
      </w:r>
      <w:r w:rsidR="00053218" w:rsidRPr="00053218">
        <w:rPr>
          <w:rFonts w:ascii="Times New Roman" w:hAnsi="Times New Roman"/>
          <w:sz w:val="26"/>
          <w:szCs w:val="26"/>
        </w:rPr>
        <w:t>экономически активного населения</w:t>
      </w:r>
      <w:r w:rsidR="00053218">
        <w:rPr>
          <w:rFonts w:ascii="Times New Roman" w:hAnsi="Times New Roman"/>
          <w:sz w:val="26"/>
          <w:szCs w:val="26"/>
        </w:rPr>
        <w:t xml:space="preserve">. </w:t>
      </w:r>
    </w:p>
    <w:p w:rsidR="001B2AD2" w:rsidRPr="001B2AD2" w:rsidRDefault="001B2AD2" w:rsidP="001B2AD2">
      <w:pPr>
        <w:widowControl w:val="0"/>
        <w:autoSpaceDE w:val="0"/>
        <w:autoSpaceDN w:val="0"/>
        <w:spacing w:after="0" w:line="240" w:lineRule="auto"/>
        <w:ind w:firstLine="709"/>
        <w:jc w:val="both"/>
        <w:rPr>
          <w:rFonts w:ascii="Times New Roman" w:hAnsi="Times New Roman"/>
          <w:sz w:val="26"/>
          <w:szCs w:val="26"/>
        </w:rPr>
      </w:pPr>
      <w:r w:rsidRPr="001B2AD2">
        <w:rPr>
          <w:rFonts w:ascii="Times New Roman" w:hAnsi="Times New Roman"/>
          <w:sz w:val="26"/>
          <w:szCs w:val="26"/>
        </w:rPr>
        <w:t>По состоянию на 1 января 2016 года численность безработных, имеющих официальный статус безработного в Центре занятости, составила 186 человек. По сравнению с аналогичным периодом 2014 года численность безработных увеличилась на 55 человек</w:t>
      </w:r>
      <w:r>
        <w:rPr>
          <w:rFonts w:ascii="Times New Roman" w:hAnsi="Times New Roman"/>
          <w:sz w:val="26"/>
          <w:szCs w:val="26"/>
        </w:rPr>
        <w:t xml:space="preserve"> (2014 год – 131 безработный), а к плановому значению 2015 года (140 человек) увеличилась на 46 человек.</w:t>
      </w:r>
    </w:p>
    <w:p w:rsidR="004A65CF" w:rsidRDefault="008C4D58" w:rsidP="00F2482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Также на показатель уровня регистрируемой безработицы оказывает влияние такой показатель как численность экономически активного населения.</w:t>
      </w:r>
    </w:p>
    <w:p w:rsidR="002A0FDE" w:rsidRDefault="008C4D58" w:rsidP="00F24826">
      <w:pPr>
        <w:widowControl w:val="0"/>
        <w:autoSpaceDE w:val="0"/>
        <w:autoSpaceDN w:val="0"/>
        <w:spacing w:after="0" w:line="240" w:lineRule="auto"/>
        <w:ind w:firstLine="709"/>
        <w:jc w:val="both"/>
        <w:rPr>
          <w:rFonts w:ascii="Times New Roman" w:hAnsi="Times New Roman"/>
          <w:sz w:val="26"/>
          <w:szCs w:val="26"/>
        </w:rPr>
      </w:pPr>
      <w:r w:rsidRPr="008C4D58">
        <w:rPr>
          <w:rFonts w:ascii="Times New Roman" w:hAnsi="Times New Roman"/>
          <w:sz w:val="26"/>
          <w:szCs w:val="26"/>
        </w:rPr>
        <w:t>Численность экономически активного населения города Когалыма на                         1 января 2016 года составила 35,65 тыс. человек</w:t>
      </w:r>
      <w:r>
        <w:rPr>
          <w:rFonts w:ascii="Times New Roman" w:hAnsi="Times New Roman"/>
          <w:sz w:val="26"/>
          <w:szCs w:val="26"/>
        </w:rPr>
        <w:t>, и уменьшилась по отношению к 2014 году на 0,9% (35,97 тыс. человек).</w:t>
      </w:r>
    </w:p>
    <w:p w:rsidR="008C4D58" w:rsidRPr="008C4D58" w:rsidRDefault="002A0FDE" w:rsidP="00F24826">
      <w:pPr>
        <w:widowControl w:val="0"/>
        <w:autoSpaceDE w:val="0"/>
        <w:autoSpaceDN w:val="0"/>
        <w:spacing w:after="0" w:line="240" w:lineRule="auto"/>
        <w:ind w:firstLine="709"/>
        <w:jc w:val="both"/>
        <w:rPr>
          <w:rFonts w:ascii="Times New Roman" w:hAnsi="Times New Roman"/>
          <w:sz w:val="26"/>
          <w:szCs w:val="26"/>
        </w:rPr>
      </w:pPr>
      <w:r>
        <w:rPr>
          <w:rFonts w:ascii="Times New Roman" w:hAnsi="Times New Roman"/>
          <w:sz w:val="26"/>
          <w:szCs w:val="26"/>
        </w:rPr>
        <w:t>Соответственно, при уменьшении численности экономически активного населения и увеличения количества безработных, растет и уровень регистрируемой безработицы.</w:t>
      </w:r>
    </w:p>
    <w:p w:rsidR="008C4D58" w:rsidRPr="008C4D58" w:rsidRDefault="008C4D58" w:rsidP="00F24826">
      <w:pPr>
        <w:widowControl w:val="0"/>
        <w:autoSpaceDE w:val="0"/>
        <w:autoSpaceDN w:val="0"/>
        <w:spacing w:after="0" w:line="240" w:lineRule="auto"/>
        <w:ind w:firstLine="709"/>
        <w:jc w:val="both"/>
        <w:rPr>
          <w:rFonts w:ascii="Times New Roman" w:hAnsi="Times New Roman"/>
          <w:sz w:val="26"/>
          <w:szCs w:val="26"/>
        </w:rPr>
      </w:pPr>
    </w:p>
    <w:p w:rsidR="008C5EF3" w:rsidRPr="009C4C4C" w:rsidRDefault="001B2AD2" w:rsidP="008161B1">
      <w:pPr>
        <w:widowControl w:val="0"/>
        <w:autoSpaceDE w:val="0"/>
        <w:autoSpaceDN w:val="0"/>
        <w:spacing w:after="0" w:line="240" w:lineRule="auto"/>
        <w:ind w:firstLine="709"/>
        <w:jc w:val="both"/>
        <w:rPr>
          <w:rFonts w:ascii="Times New Roman" w:hAnsi="Times New Roman"/>
          <w:bCs/>
          <w:sz w:val="26"/>
          <w:szCs w:val="26"/>
        </w:rPr>
      </w:pPr>
      <w:r>
        <w:rPr>
          <w:rFonts w:ascii="Times New Roman" w:hAnsi="Times New Roman"/>
          <w:sz w:val="26"/>
          <w:szCs w:val="26"/>
        </w:rPr>
        <w:t>В целом п</w:t>
      </w:r>
      <w:r w:rsidR="00FC710A" w:rsidRPr="009C4C4C">
        <w:rPr>
          <w:rFonts w:ascii="Times New Roman" w:hAnsi="Times New Roman"/>
          <w:sz w:val="26"/>
          <w:szCs w:val="26"/>
        </w:rPr>
        <w:t xml:space="preserve">роведенный анализ </w:t>
      </w:r>
      <w:r w:rsidR="008161B1" w:rsidRPr="009C4C4C">
        <w:rPr>
          <w:rFonts w:ascii="Times New Roman" w:hAnsi="Times New Roman"/>
          <w:sz w:val="26"/>
          <w:szCs w:val="26"/>
        </w:rPr>
        <w:t xml:space="preserve">целевых показателей, задач и мероприятий </w:t>
      </w:r>
      <w:r w:rsidR="00FC710A" w:rsidRPr="009C4C4C">
        <w:rPr>
          <w:rFonts w:ascii="Times New Roman" w:hAnsi="Times New Roman"/>
          <w:sz w:val="26"/>
          <w:szCs w:val="26"/>
        </w:rPr>
        <w:t xml:space="preserve">показал, что </w:t>
      </w:r>
      <w:r w:rsidR="00D7697A" w:rsidRPr="009C4C4C">
        <w:rPr>
          <w:rFonts w:ascii="Times New Roman" w:hAnsi="Times New Roman"/>
          <w:sz w:val="26"/>
          <w:szCs w:val="26"/>
        </w:rPr>
        <w:t>основное количество задач можно оценить, как задачи с высокой степенью эффективности (значение показателя</w:t>
      </w:r>
      <w:r w:rsidR="005D1A9A" w:rsidRPr="009C4C4C">
        <w:rPr>
          <w:rFonts w:ascii="Times New Roman" w:hAnsi="Times New Roman"/>
          <w:sz w:val="26"/>
          <w:szCs w:val="26"/>
        </w:rPr>
        <w:t xml:space="preserve"> </w:t>
      </w:r>
      <w:r w:rsidR="00D7697A" w:rsidRPr="009C4C4C">
        <w:rPr>
          <w:rFonts w:ascii="Times New Roman" w:hAnsi="Times New Roman"/>
          <w:sz w:val="26"/>
          <w:szCs w:val="26"/>
        </w:rPr>
        <w:t>1</w:t>
      </w:r>
      <w:bookmarkStart w:id="0" w:name="_GoBack"/>
      <w:bookmarkEnd w:id="0"/>
      <w:r w:rsidR="00D7697A" w:rsidRPr="009C4C4C">
        <w:rPr>
          <w:rFonts w:ascii="Times New Roman" w:hAnsi="Times New Roman"/>
          <w:sz w:val="26"/>
          <w:szCs w:val="26"/>
        </w:rPr>
        <w:t>00%) и задачи с умеренной степенью эффективности (значение показателя 70%</w:t>
      </w:r>
      <w:r w:rsidR="009B03DF" w:rsidRPr="009C4C4C">
        <w:rPr>
          <w:rFonts w:ascii="Times New Roman" w:hAnsi="Times New Roman"/>
          <w:sz w:val="26"/>
          <w:szCs w:val="26"/>
        </w:rPr>
        <w:t xml:space="preserve"> </w:t>
      </w:r>
      <w:r w:rsidR="00D7697A" w:rsidRPr="009C4C4C">
        <w:rPr>
          <w:rFonts w:ascii="Times New Roman" w:hAnsi="Times New Roman"/>
          <w:sz w:val="26"/>
          <w:szCs w:val="26"/>
        </w:rPr>
        <w:t>-</w:t>
      </w:r>
      <w:r w:rsidR="009B03DF" w:rsidRPr="009C4C4C">
        <w:rPr>
          <w:rFonts w:ascii="Times New Roman" w:hAnsi="Times New Roman"/>
          <w:sz w:val="26"/>
          <w:szCs w:val="26"/>
        </w:rPr>
        <w:t xml:space="preserve"> </w:t>
      </w:r>
      <w:r w:rsidR="00D7697A" w:rsidRPr="009C4C4C">
        <w:rPr>
          <w:rFonts w:ascii="Times New Roman" w:hAnsi="Times New Roman"/>
          <w:sz w:val="26"/>
          <w:szCs w:val="26"/>
        </w:rPr>
        <w:t>100%).</w:t>
      </w:r>
      <w:r w:rsidR="005D1A9A" w:rsidRPr="009C4C4C">
        <w:rPr>
          <w:rFonts w:ascii="Times New Roman" w:hAnsi="Times New Roman"/>
          <w:sz w:val="26"/>
          <w:szCs w:val="26"/>
        </w:rPr>
        <w:t xml:space="preserve"> Положительная динамка по показателям (индикаторам) стала возможна благодаря эффективной реализации программ и мероприятий.</w:t>
      </w:r>
      <w:r w:rsidR="00477517" w:rsidRPr="009C4C4C">
        <w:rPr>
          <w:rFonts w:ascii="Times New Roman" w:hAnsi="Times New Roman"/>
          <w:sz w:val="26"/>
          <w:szCs w:val="26"/>
        </w:rPr>
        <w:t xml:space="preserve"> </w:t>
      </w:r>
    </w:p>
    <w:sectPr w:rsidR="008C5EF3" w:rsidRPr="009C4C4C" w:rsidSect="009F4F3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52D7A"/>
    <w:multiLevelType w:val="hybridMultilevel"/>
    <w:tmpl w:val="BC602B6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29D10262"/>
    <w:multiLevelType w:val="hybridMultilevel"/>
    <w:tmpl w:val="5C0804F4"/>
    <w:lvl w:ilvl="0" w:tplc="83EA16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A67"/>
    <w:rsid w:val="00036005"/>
    <w:rsid w:val="00053218"/>
    <w:rsid w:val="0005794D"/>
    <w:rsid w:val="00062811"/>
    <w:rsid w:val="000633D1"/>
    <w:rsid w:val="00074DFF"/>
    <w:rsid w:val="00085F3F"/>
    <w:rsid w:val="000A72AB"/>
    <w:rsid w:val="000B4411"/>
    <w:rsid w:val="00110907"/>
    <w:rsid w:val="001413AF"/>
    <w:rsid w:val="001429DD"/>
    <w:rsid w:val="00167872"/>
    <w:rsid w:val="00181978"/>
    <w:rsid w:val="0018443D"/>
    <w:rsid w:val="001942A1"/>
    <w:rsid w:val="001B2AD2"/>
    <w:rsid w:val="001C7E2B"/>
    <w:rsid w:val="001E0CED"/>
    <w:rsid w:val="002243E0"/>
    <w:rsid w:val="00227D8D"/>
    <w:rsid w:val="0023637F"/>
    <w:rsid w:val="00260269"/>
    <w:rsid w:val="00263B0D"/>
    <w:rsid w:val="002919A6"/>
    <w:rsid w:val="002A0FDE"/>
    <w:rsid w:val="002C5138"/>
    <w:rsid w:val="002D2300"/>
    <w:rsid w:val="002E3C2F"/>
    <w:rsid w:val="00313800"/>
    <w:rsid w:val="00317617"/>
    <w:rsid w:val="00344202"/>
    <w:rsid w:val="0035740A"/>
    <w:rsid w:val="00361AFF"/>
    <w:rsid w:val="00366335"/>
    <w:rsid w:val="00381F69"/>
    <w:rsid w:val="003909AD"/>
    <w:rsid w:val="003F0971"/>
    <w:rsid w:val="0042501C"/>
    <w:rsid w:val="0042691E"/>
    <w:rsid w:val="004444FA"/>
    <w:rsid w:val="0044769D"/>
    <w:rsid w:val="00455554"/>
    <w:rsid w:val="00467F9A"/>
    <w:rsid w:val="00477517"/>
    <w:rsid w:val="004A4435"/>
    <w:rsid w:val="004A65CF"/>
    <w:rsid w:val="004B2B43"/>
    <w:rsid w:val="004B3659"/>
    <w:rsid w:val="004D1CE1"/>
    <w:rsid w:val="004D32CE"/>
    <w:rsid w:val="005143B6"/>
    <w:rsid w:val="0055278C"/>
    <w:rsid w:val="00563EBF"/>
    <w:rsid w:val="00577BE9"/>
    <w:rsid w:val="00593FCD"/>
    <w:rsid w:val="005A3227"/>
    <w:rsid w:val="005B4256"/>
    <w:rsid w:val="005B536B"/>
    <w:rsid w:val="005D1A9A"/>
    <w:rsid w:val="005F3583"/>
    <w:rsid w:val="00622C01"/>
    <w:rsid w:val="00655BE3"/>
    <w:rsid w:val="00667FD1"/>
    <w:rsid w:val="0069035D"/>
    <w:rsid w:val="006A59E9"/>
    <w:rsid w:val="006A5FAE"/>
    <w:rsid w:val="006B1B92"/>
    <w:rsid w:val="006B5ECC"/>
    <w:rsid w:val="006B7D66"/>
    <w:rsid w:val="006D5082"/>
    <w:rsid w:val="006D61FA"/>
    <w:rsid w:val="00701616"/>
    <w:rsid w:val="00726244"/>
    <w:rsid w:val="00732184"/>
    <w:rsid w:val="00740FB9"/>
    <w:rsid w:val="00756EDE"/>
    <w:rsid w:val="00757878"/>
    <w:rsid w:val="007609E2"/>
    <w:rsid w:val="007656F7"/>
    <w:rsid w:val="007701C2"/>
    <w:rsid w:val="0079592D"/>
    <w:rsid w:val="007B2D87"/>
    <w:rsid w:val="00807E75"/>
    <w:rsid w:val="008161B1"/>
    <w:rsid w:val="0083679D"/>
    <w:rsid w:val="00883528"/>
    <w:rsid w:val="00885D40"/>
    <w:rsid w:val="008B4B1E"/>
    <w:rsid w:val="008C4D58"/>
    <w:rsid w:val="008C5EF3"/>
    <w:rsid w:val="008D088B"/>
    <w:rsid w:val="008D42AF"/>
    <w:rsid w:val="008E3EFB"/>
    <w:rsid w:val="008E6EA0"/>
    <w:rsid w:val="009415C8"/>
    <w:rsid w:val="00947C60"/>
    <w:rsid w:val="00967E29"/>
    <w:rsid w:val="00974A3B"/>
    <w:rsid w:val="00983357"/>
    <w:rsid w:val="009B03DF"/>
    <w:rsid w:val="009B396D"/>
    <w:rsid w:val="009B5DC9"/>
    <w:rsid w:val="009C4C4C"/>
    <w:rsid w:val="009F07C6"/>
    <w:rsid w:val="009F4F3C"/>
    <w:rsid w:val="00A07483"/>
    <w:rsid w:val="00A4438D"/>
    <w:rsid w:val="00A64991"/>
    <w:rsid w:val="00A73721"/>
    <w:rsid w:val="00A90B7B"/>
    <w:rsid w:val="00AA2FAD"/>
    <w:rsid w:val="00AA46D4"/>
    <w:rsid w:val="00AD44D1"/>
    <w:rsid w:val="00AD630D"/>
    <w:rsid w:val="00AE5634"/>
    <w:rsid w:val="00B03435"/>
    <w:rsid w:val="00B06241"/>
    <w:rsid w:val="00B12C24"/>
    <w:rsid w:val="00B226BA"/>
    <w:rsid w:val="00B27F08"/>
    <w:rsid w:val="00B32460"/>
    <w:rsid w:val="00B82BA8"/>
    <w:rsid w:val="00BC4D38"/>
    <w:rsid w:val="00BD1A9A"/>
    <w:rsid w:val="00C209F6"/>
    <w:rsid w:val="00C56A9C"/>
    <w:rsid w:val="00CA114D"/>
    <w:rsid w:val="00CB3EE9"/>
    <w:rsid w:val="00CB5041"/>
    <w:rsid w:val="00CE0CC7"/>
    <w:rsid w:val="00D1033F"/>
    <w:rsid w:val="00D14D58"/>
    <w:rsid w:val="00D412B1"/>
    <w:rsid w:val="00D70E5A"/>
    <w:rsid w:val="00D7697A"/>
    <w:rsid w:val="00D86F35"/>
    <w:rsid w:val="00DA0E6B"/>
    <w:rsid w:val="00DA24A9"/>
    <w:rsid w:val="00DA3227"/>
    <w:rsid w:val="00DA6A67"/>
    <w:rsid w:val="00DB2308"/>
    <w:rsid w:val="00DC647C"/>
    <w:rsid w:val="00E17EA5"/>
    <w:rsid w:val="00E23C7E"/>
    <w:rsid w:val="00E37149"/>
    <w:rsid w:val="00E43B86"/>
    <w:rsid w:val="00E62EFE"/>
    <w:rsid w:val="00EA17E3"/>
    <w:rsid w:val="00EA4C2C"/>
    <w:rsid w:val="00EB4922"/>
    <w:rsid w:val="00EC0014"/>
    <w:rsid w:val="00EE0560"/>
    <w:rsid w:val="00F24826"/>
    <w:rsid w:val="00F75609"/>
    <w:rsid w:val="00F87B31"/>
    <w:rsid w:val="00F92472"/>
    <w:rsid w:val="00F93894"/>
    <w:rsid w:val="00F9782B"/>
    <w:rsid w:val="00F97C0C"/>
    <w:rsid w:val="00FA1F31"/>
    <w:rsid w:val="00FB27DF"/>
    <w:rsid w:val="00FC5A70"/>
    <w:rsid w:val="00FC5C94"/>
    <w:rsid w:val="00FC710A"/>
    <w:rsid w:val="00FD0DE6"/>
    <w:rsid w:val="00FF4015"/>
    <w:rsid w:val="00FF5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E7849F-56B3-479A-BE78-963B51AF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9782B"/>
    <w:pPr>
      <w:spacing w:after="0" w:line="240" w:lineRule="auto"/>
    </w:pPr>
  </w:style>
  <w:style w:type="paragraph" w:customStyle="1" w:styleId="Default">
    <w:name w:val="Default"/>
    <w:rsid w:val="00593F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link w:val="ConsPlusNormal0"/>
    <w:rsid w:val="00593FCD"/>
    <w:pPr>
      <w:widowControl w:val="0"/>
      <w:autoSpaceDE w:val="0"/>
      <w:autoSpaceDN w:val="0"/>
      <w:adjustRightInd w:val="0"/>
      <w:spacing w:after="0" w:line="240" w:lineRule="auto"/>
    </w:pPr>
    <w:rPr>
      <w:rFonts w:ascii="Arial" w:eastAsia="Times New Roman" w:hAnsi="Arial" w:cs="Times New Roman"/>
      <w:szCs w:val="20"/>
      <w:lang w:eastAsia="ru-RU"/>
    </w:rPr>
  </w:style>
  <w:style w:type="paragraph" w:styleId="a4">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
    <w:uiPriority w:val="35"/>
    <w:qFormat/>
    <w:rsid w:val="00593FCD"/>
    <w:pPr>
      <w:spacing w:after="200" w:line="240" w:lineRule="auto"/>
    </w:pPr>
    <w:rPr>
      <w:rFonts w:ascii="Calibri" w:eastAsia="Times New Roman" w:hAnsi="Calibri" w:cs="Times New Roman"/>
      <w:b/>
      <w:color w:val="4F81BD"/>
      <w:sz w:val="18"/>
      <w:szCs w:val="20"/>
      <w:lang w:val="x-none" w:eastAsia="x-none"/>
    </w:rPr>
  </w:style>
  <w:style w:type="character" w:customStyle="1" w:styleId="2">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4"/>
    <w:uiPriority w:val="35"/>
    <w:locked/>
    <w:rsid w:val="00593FCD"/>
    <w:rPr>
      <w:rFonts w:ascii="Calibri" w:eastAsia="Times New Roman" w:hAnsi="Calibri" w:cs="Times New Roman"/>
      <w:b/>
      <w:color w:val="4F81BD"/>
      <w:sz w:val="18"/>
      <w:szCs w:val="20"/>
      <w:lang w:val="x-none" w:eastAsia="x-none"/>
    </w:rPr>
  </w:style>
  <w:style w:type="character" w:customStyle="1" w:styleId="ConsPlusNormal0">
    <w:name w:val="ConsPlusNormal Знак"/>
    <w:link w:val="ConsPlusNormal"/>
    <w:locked/>
    <w:rsid w:val="00593FCD"/>
    <w:rPr>
      <w:rFonts w:ascii="Arial" w:eastAsia="Times New Roman" w:hAnsi="Arial" w:cs="Times New Roman"/>
      <w:szCs w:val="20"/>
      <w:lang w:eastAsia="ru-RU"/>
    </w:rPr>
  </w:style>
  <w:style w:type="paragraph" w:customStyle="1" w:styleId="a5">
    <w:name w:val="Основа"/>
    <w:basedOn w:val="a"/>
    <w:link w:val="a6"/>
    <w:rsid w:val="00593FCD"/>
    <w:pPr>
      <w:spacing w:before="120" w:after="0" w:line="360" w:lineRule="auto"/>
      <w:ind w:firstLine="567"/>
      <w:jc w:val="both"/>
    </w:pPr>
    <w:rPr>
      <w:rFonts w:ascii="Times New Roman" w:eastAsia="Times New Roman" w:hAnsi="Times New Roman" w:cs="Times New Roman"/>
      <w:sz w:val="24"/>
      <w:szCs w:val="24"/>
      <w:lang w:eastAsia="ru-RU"/>
    </w:rPr>
  </w:style>
  <w:style w:type="character" w:customStyle="1" w:styleId="a6">
    <w:name w:val="Основа Знак"/>
    <w:link w:val="a5"/>
    <w:locked/>
    <w:rsid w:val="00593FCD"/>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593FCD"/>
    <w:pPr>
      <w:ind w:left="720"/>
      <w:contextualSpacing/>
    </w:pPr>
    <w:rPr>
      <w:rFonts w:ascii="Calibri" w:eastAsia="Calibri" w:hAnsi="Calibri" w:cs="Times New Roman"/>
    </w:rPr>
  </w:style>
  <w:style w:type="character" w:customStyle="1" w:styleId="a8">
    <w:name w:val="Абзац списка Знак"/>
    <w:link w:val="a7"/>
    <w:uiPriority w:val="34"/>
    <w:locked/>
    <w:rsid w:val="00593FCD"/>
    <w:rPr>
      <w:rFonts w:ascii="Calibri" w:eastAsia="Calibri" w:hAnsi="Calibri" w:cs="Times New Roman"/>
    </w:rPr>
  </w:style>
  <w:style w:type="paragraph" w:styleId="a9">
    <w:name w:val="Normal (Web)"/>
    <w:basedOn w:val="a"/>
    <w:uiPriority w:val="99"/>
    <w:semiHidden/>
    <w:unhideWhenUsed/>
    <w:rsid w:val="005A32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B12C24"/>
    <w:rPr>
      <w:b/>
      <w:bCs/>
    </w:rPr>
  </w:style>
  <w:style w:type="paragraph" w:styleId="ab">
    <w:name w:val="Balloon Text"/>
    <w:basedOn w:val="a"/>
    <w:link w:val="ac"/>
    <w:uiPriority w:val="99"/>
    <w:semiHidden/>
    <w:unhideWhenUsed/>
    <w:rsid w:val="006B1B9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B1B92"/>
    <w:rPr>
      <w:rFonts w:ascii="Segoe UI" w:hAnsi="Segoe UI" w:cs="Segoe UI"/>
      <w:sz w:val="18"/>
      <w:szCs w:val="18"/>
    </w:rPr>
  </w:style>
  <w:style w:type="table" w:styleId="ad">
    <w:name w:val="Table Grid"/>
    <w:basedOn w:val="a1"/>
    <w:uiPriority w:val="39"/>
    <w:rsid w:val="00622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517717">
      <w:bodyDiv w:val="1"/>
      <w:marLeft w:val="0"/>
      <w:marRight w:val="0"/>
      <w:marTop w:val="0"/>
      <w:marBottom w:val="0"/>
      <w:divBdr>
        <w:top w:val="none" w:sz="0" w:space="0" w:color="auto"/>
        <w:left w:val="none" w:sz="0" w:space="0" w:color="auto"/>
        <w:bottom w:val="none" w:sz="0" w:space="0" w:color="auto"/>
        <w:right w:val="none" w:sz="0" w:space="0" w:color="auto"/>
      </w:divBdr>
    </w:div>
    <w:div w:id="1288392964">
      <w:bodyDiv w:val="1"/>
      <w:marLeft w:val="0"/>
      <w:marRight w:val="0"/>
      <w:marTop w:val="0"/>
      <w:marBottom w:val="0"/>
      <w:divBdr>
        <w:top w:val="none" w:sz="0" w:space="0" w:color="auto"/>
        <w:left w:val="none" w:sz="0" w:space="0" w:color="auto"/>
        <w:bottom w:val="none" w:sz="0" w:space="0" w:color="auto"/>
        <w:right w:val="none" w:sz="0" w:space="0" w:color="auto"/>
      </w:divBdr>
    </w:div>
    <w:div w:id="162680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64214-ABA0-4015-82B6-E5600F657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8</Pages>
  <Words>3338</Words>
  <Characters>19029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Анжела Васильевна</dc:creator>
  <cp:lastModifiedBy>Бондарева Оксана Петровна</cp:lastModifiedBy>
  <cp:revision>39</cp:revision>
  <cp:lastPrinted>2016-04-13T05:02:00Z</cp:lastPrinted>
  <dcterms:created xsi:type="dcterms:W3CDTF">2016-04-09T09:26:00Z</dcterms:created>
  <dcterms:modified xsi:type="dcterms:W3CDTF">2016-04-27T08:26:00Z</dcterms:modified>
</cp:coreProperties>
</file>