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81" w:rsidRPr="006F311E" w:rsidRDefault="00E11C81" w:rsidP="00E11C81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6F311E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Основные условия микрозаймов </w:t>
      </w:r>
    </w:p>
    <w:p w:rsidR="00E11C81" w:rsidRPr="006F311E" w:rsidRDefault="00E11C81" w:rsidP="00E11C81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6F311E">
        <w:rPr>
          <w:rFonts w:ascii="Times New Roman" w:hAnsi="Times New Roman" w:cs="Times New Roman"/>
          <w:color w:val="0D0D0D"/>
          <w:sz w:val="28"/>
          <w:szCs w:val="28"/>
        </w:rPr>
        <w:t xml:space="preserve">Фонда «Югорская региональная микрокредитная компания» </w:t>
      </w:r>
    </w:p>
    <w:p w:rsidR="00E11C81" w:rsidRPr="006F311E" w:rsidRDefault="00E11C81" w:rsidP="00E11C81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6F311E">
        <w:rPr>
          <w:rFonts w:ascii="Times New Roman" w:hAnsi="Times New Roman" w:cs="Times New Roman"/>
          <w:b/>
          <w:color w:val="0D0D0D"/>
          <w:sz w:val="28"/>
          <w:szCs w:val="28"/>
        </w:rPr>
        <w:t>для социально-ориентированных некоммерческих организаций</w:t>
      </w:r>
    </w:p>
    <w:p w:rsidR="00E11C81" w:rsidRPr="006F311E" w:rsidRDefault="00E11C81" w:rsidP="00E11C81">
      <w:pPr>
        <w:spacing w:after="0" w:line="240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6231"/>
      </w:tblGrid>
      <w:tr w:rsidR="00E11C81" w:rsidRPr="006F311E" w:rsidTr="002A2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Максимальная сумма микрозайма</w:t>
            </w:r>
          </w:p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</w:tcPr>
          <w:p w:rsidR="00E11C81" w:rsidRPr="006F311E" w:rsidRDefault="00E11C81" w:rsidP="002A24D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E11C81" w:rsidRPr="006F311E" w:rsidRDefault="00E11C81" w:rsidP="002A24DE">
            <w:pPr>
              <w:spacing w:befor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/>
                <w:sz w:val="28"/>
                <w:szCs w:val="28"/>
              </w:rPr>
            </w:pPr>
            <w:r w:rsidRPr="006F311E">
              <w:rPr>
                <w:b w:val="0"/>
                <w:color w:val="0D0D0D"/>
                <w:sz w:val="28"/>
                <w:szCs w:val="28"/>
              </w:rPr>
              <w:t>Один миллион рублей</w:t>
            </w:r>
          </w:p>
        </w:tc>
      </w:tr>
      <w:tr w:rsidR="00E11C81" w:rsidRPr="006F311E" w:rsidTr="002A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Максимальный срок микрозайма</w:t>
            </w:r>
          </w:p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</w:tcPr>
          <w:p w:rsidR="00E11C81" w:rsidRPr="006F311E" w:rsidRDefault="00E11C81" w:rsidP="002A24D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Три года</w:t>
            </w:r>
          </w:p>
        </w:tc>
      </w:tr>
      <w:tr w:rsidR="00E11C81" w:rsidRPr="006F311E" w:rsidTr="002A2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Процентная ставка</w:t>
            </w:r>
          </w:p>
          <w:p w:rsidR="00E11C81" w:rsidRPr="006F311E" w:rsidRDefault="00E11C81" w:rsidP="002A24DE">
            <w:pPr>
              <w:spacing w:before="0"/>
              <w:rPr>
                <w:b w:val="0"/>
                <w:color w:val="0D0D0D"/>
                <w:sz w:val="28"/>
                <w:szCs w:val="28"/>
              </w:rPr>
            </w:pPr>
            <w:r w:rsidRPr="006F311E">
              <w:rPr>
                <w:b w:val="0"/>
                <w:color w:val="0D0D0D"/>
                <w:sz w:val="28"/>
                <w:szCs w:val="28"/>
              </w:rPr>
              <w:t>(процентов годовых)</w:t>
            </w:r>
          </w:p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</w:p>
        </w:tc>
        <w:tc>
          <w:tcPr>
            <w:tcW w:w="284" w:type="dxa"/>
          </w:tcPr>
          <w:p w:rsidR="00E11C81" w:rsidRPr="006F311E" w:rsidRDefault="00E11C81" w:rsidP="002A24D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E11C81" w:rsidRPr="006F311E" w:rsidRDefault="00E11C81" w:rsidP="002A24DE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6,5 </w:t>
            </w:r>
          </w:p>
        </w:tc>
      </w:tr>
      <w:tr w:rsidR="00E11C81" w:rsidRPr="006F311E" w:rsidTr="002A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Целевой характер</w:t>
            </w:r>
          </w:p>
        </w:tc>
        <w:tc>
          <w:tcPr>
            <w:tcW w:w="284" w:type="dxa"/>
          </w:tcPr>
          <w:p w:rsidR="00E11C81" w:rsidRPr="006F311E" w:rsidRDefault="00E11C81" w:rsidP="002A24D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документальное подтверждение использования микрозайма в соответствии его целями</w:t>
            </w:r>
          </w:p>
        </w:tc>
      </w:tr>
      <w:tr w:rsidR="00E11C81" w:rsidRPr="006F311E" w:rsidTr="002A2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Цели микрозайма</w:t>
            </w:r>
          </w:p>
        </w:tc>
        <w:tc>
          <w:tcPr>
            <w:tcW w:w="284" w:type="dxa"/>
          </w:tcPr>
          <w:p w:rsidR="00E11C81" w:rsidRPr="006F311E" w:rsidRDefault="00E11C81" w:rsidP="002A24D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E11C81" w:rsidRPr="006F311E" w:rsidRDefault="00E11C81" w:rsidP="002A24DE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приобретение основных средств, пополнение оборотных средств, оплата товаров, работ, услуг и иные цели, соответствующие целям деятельности юридического лица, за исключением целей выплаты заработной платы, уплаты налоговых и иных обязательных платежей и иные цели, не связанные с осуществлением Заемщиком деятельности</w:t>
            </w:r>
          </w:p>
        </w:tc>
      </w:tr>
      <w:tr w:rsidR="00E11C81" w:rsidRPr="006F311E" w:rsidTr="002A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Требования к заемщику</w:t>
            </w:r>
          </w:p>
        </w:tc>
        <w:tc>
          <w:tcPr>
            <w:tcW w:w="284" w:type="dxa"/>
          </w:tcPr>
          <w:p w:rsidR="00E11C81" w:rsidRPr="006F311E" w:rsidRDefault="00E11C81" w:rsidP="002A24D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- постановка на налоговый учет и осуществление деятельности в Ханты-Мансийском автономном округе – Югре;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задолженности по уплате налогов и взносов в бюджеты всех уровней и государственные внебюджетные фонды;  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 - отсутствие задолженности по ранее предоставленным на возвратной основе бюджетным средствам и (или) обязательным платежам перед бюджетами всех уровней </w:t>
            </w:r>
            <w:r w:rsidRPr="006F311E">
              <w:rPr>
                <w:color w:val="0D0D0D"/>
                <w:sz w:val="28"/>
                <w:szCs w:val="28"/>
              </w:rPr>
              <w:lastRenderedPageBreak/>
              <w:t xml:space="preserve">бюджетной системы Российской Федерации и государственными внебюджетными фондами (для региональных социально ориентированных некоммерческих организаций). 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наличие финансовых средств (в т.ч. чистой прибыли), достаточных для внесения платежей по микрозайму; 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фактов не исполнения Заемщиком, его учредителем (участником), либо руководителем в добровольном порядке судебного акта, принятого в связи с нарушением условий предоставления поддержки, полученной ранее в Фонде; 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обеспечения исполнения обязательств по микрозайму; 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у Заемщика, учредителей (участников) Заемщика просроченной задолженности по кредитным договорам, договорам займа, договорам лизинга, превышающей срок 30 дней за 6 месяцев, предшествующих месяцу обращения в Фонд; 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отсутствие возбужденных в отношении Заемщика, либо учредителей (участников) Заемщика исполнительных производств на общую сумму более 10 тысяч рублей. 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Обязательства по возврату микрозайма могут быть обеспечены: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- поручительством граждан, имеющих постоянное место работы;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- залогом имущества (в т.ч. имущества третьих лиц); </w:t>
            </w:r>
          </w:p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</w:tr>
      <w:tr w:rsidR="00E11C81" w:rsidRPr="006F311E" w:rsidTr="002A24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lastRenderedPageBreak/>
              <w:t>Обеспечение обязательств</w:t>
            </w:r>
          </w:p>
          <w:p w:rsidR="00E11C81" w:rsidRPr="006F311E" w:rsidRDefault="00E11C81" w:rsidP="002A24DE">
            <w:pPr>
              <w:spacing w:before="0"/>
              <w:rPr>
                <w:b w:val="0"/>
                <w:color w:val="0D0D0D"/>
                <w:sz w:val="28"/>
                <w:szCs w:val="28"/>
              </w:rPr>
            </w:pPr>
            <w:r w:rsidRPr="006F311E">
              <w:rPr>
                <w:b w:val="0"/>
                <w:color w:val="0D0D0D"/>
                <w:sz w:val="28"/>
                <w:szCs w:val="28"/>
              </w:rPr>
              <w:t>(возможно сочетание)</w:t>
            </w:r>
          </w:p>
        </w:tc>
        <w:tc>
          <w:tcPr>
            <w:tcW w:w="284" w:type="dxa"/>
          </w:tcPr>
          <w:p w:rsidR="00E11C81" w:rsidRPr="006F311E" w:rsidRDefault="00E11C81" w:rsidP="002A24D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E11C81" w:rsidRPr="006F311E" w:rsidRDefault="00E11C81" w:rsidP="002A24DE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- поручительство граждан, имеющих постоянное место работы;</w:t>
            </w:r>
          </w:p>
          <w:p w:rsidR="00E11C81" w:rsidRPr="006F311E" w:rsidRDefault="00E11C81" w:rsidP="002A24DE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- залог имущества, в т.ч. имущества третьих лиц (за исключением жилого имущества);</w:t>
            </w:r>
          </w:p>
          <w:p w:rsidR="00E11C81" w:rsidRPr="006F311E" w:rsidRDefault="00E11C81" w:rsidP="002A24DE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</w:tr>
      <w:tr w:rsidR="00E11C81" w:rsidRPr="006F311E" w:rsidTr="002A2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E11C81" w:rsidRPr="006F311E" w:rsidRDefault="00E11C81" w:rsidP="002A24DE">
            <w:pPr>
              <w:spacing w:before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>Подробные условия</w:t>
            </w:r>
          </w:p>
        </w:tc>
        <w:tc>
          <w:tcPr>
            <w:tcW w:w="284" w:type="dxa"/>
          </w:tcPr>
          <w:p w:rsidR="00E11C81" w:rsidRPr="006F311E" w:rsidRDefault="00E11C81" w:rsidP="002A24D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</w:p>
        </w:tc>
        <w:tc>
          <w:tcPr>
            <w:tcW w:w="6231" w:type="dxa"/>
          </w:tcPr>
          <w:p w:rsidR="00E11C81" w:rsidRPr="006F311E" w:rsidRDefault="00E11C81" w:rsidP="002A24DE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/>
                <w:sz w:val="28"/>
                <w:szCs w:val="28"/>
              </w:rPr>
            </w:pPr>
            <w:r w:rsidRPr="006F311E">
              <w:rPr>
                <w:color w:val="0D0D0D"/>
                <w:sz w:val="28"/>
                <w:szCs w:val="28"/>
              </w:rPr>
              <w:t xml:space="preserve">на сайте Фонда «Югорская региональная микрокредитная компания в сети интернет </w:t>
            </w:r>
            <w:hyperlink r:id="rId4" w:history="1">
              <w:r w:rsidRPr="006F311E">
                <w:rPr>
                  <w:color w:val="0D0D0D"/>
                  <w:sz w:val="28"/>
                  <w:szCs w:val="28"/>
                </w:rPr>
                <w:t>www.fundmicro.86.ru</w:t>
              </w:r>
            </w:hyperlink>
          </w:p>
        </w:tc>
      </w:tr>
    </w:tbl>
    <w:p w:rsidR="00E11C81" w:rsidRPr="006F311E" w:rsidRDefault="00E11C81" w:rsidP="00E11C8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BAB" w:rsidRDefault="00421BAB">
      <w:bookmarkStart w:id="0" w:name="_GoBack"/>
      <w:bookmarkEnd w:id="0"/>
    </w:p>
    <w:sectPr w:rsidR="00421BAB" w:rsidSect="00E11C81"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09"/>
    <w:rsid w:val="00421BAB"/>
    <w:rsid w:val="00A80B09"/>
    <w:rsid w:val="00E1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E4DC2-AA03-449B-9DBE-C210781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E11C81"/>
    <w:pPr>
      <w:spacing w:before="120"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ndmicro.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Оксана Петровна</dc:creator>
  <cp:keywords/>
  <dc:description/>
  <cp:lastModifiedBy>Бондарева Оксана Петровна</cp:lastModifiedBy>
  <cp:revision>2</cp:revision>
  <dcterms:created xsi:type="dcterms:W3CDTF">2019-09-06T07:54:00Z</dcterms:created>
  <dcterms:modified xsi:type="dcterms:W3CDTF">2019-09-06T07:55:00Z</dcterms:modified>
</cp:coreProperties>
</file>