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BE" w:rsidRPr="008952DA" w:rsidRDefault="00AA01BE" w:rsidP="00AA01B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952DA">
        <w:rPr>
          <w:rFonts w:ascii="Times New Roman" w:hAnsi="Times New Roman" w:cs="Times New Roman"/>
          <w:i/>
          <w:sz w:val="24"/>
          <w:szCs w:val="24"/>
        </w:rPr>
        <w:t>Управление экономики Администрации города Когалыма</w:t>
      </w:r>
      <w:r w:rsidRPr="008952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AA01BE" w:rsidRPr="008952DA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52D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Муниципальное образование город Когалым  </w:t>
      </w:r>
    </w:p>
    <w:p w:rsidR="00AA01BE" w:rsidRPr="008952DA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52DA">
        <w:rPr>
          <w:rFonts w:ascii="Times New Roman" w:hAnsi="Times New Roman" w:cs="Times New Roman"/>
          <w:b/>
          <w:bCs/>
          <w:i/>
          <w:sz w:val="28"/>
          <w:szCs w:val="28"/>
        </w:rPr>
        <w:t>Ханты – Мансийский автономный округ – Югра</w:t>
      </w:r>
    </w:p>
    <w:p w:rsidR="00AA01BE" w:rsidRPr="008952DA" w:rsidRDefault="00AA01BE" w:rsidP="00AA01BE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A01BE" w:rsidRPr="008952DA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8952DA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8952DA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8952DA" w:rsidRDefault="0035500B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СРЕДНЕСРОЧНЫЙ </w:t>
      </w:r>
      <w:r w:rsidR="009613AE" w:rsidRPr="008952DA">
        <w:rPr>
          <w:rFonts w:ascii="Times New Roman" w:hAnsi="Times New Roman" w:cs="Times New Roman"/>
          <w:b/>
          <w:i/>
          <w:sz w:val="32"/>
          <w:szCs w:val="32"/>
        </w:rPr>
        <w:t>ПРОГНОЗ</w:t>
      </w:r>
    </w:p>
    <w:p w:rsidR="00AA01BE" w:rsidRPr="008952DA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52DA">
        <w:rPr>
          <w:rFonts w:ascii="Times New Roman" w:hAnsi="Times New Roman" w:cs="Times New Roman"/>
          <w:b/>
          <w:i/>
          <w:sz w:val="32"/>
          <w:szCs w:val="32"/>
        </w:rPr>
        <w:t xml:space="preserve">СОЦИАЛЬНО-ЭКОНОМИЧЕСКОГО РАЗВИТИЯ </w:t>
      </w:r>
    </w:p>
    <w:p w:rsidR="00C6470D" w:rsidRPr="008952DA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52DA">
        <w:rPr>
          <w:rFonts w:ascii="Times New Roman" w:hAnsi="Times New Roman" w:cs="Times New Roman"/>
          <w:b/>
          <w:i/>
          <w:sz w:val="32"/>
          <w:szCs w:val="32"/>
        </w:rPr>
        <w:t>ГОРОДА КОГАЛЫМА НА 201</w:t>
      </w:r>
      <w:r w:rsidR="00FB1724" w:rsidRPr="008952DA">
        <w:rPr>
          <w:rFonts w:ascii="Times New Roman" w:hAnsi="Times New Roman" w:cs="Times New Roman"/>
          <w:b/>
          <w:i/>
          <w:sz w:val="32"/>
          <w:szCs w:val="32"/>
        </w:rPr>
        <w:t>9</w:t>
      </w:r>
      <w:r w:rsidRPr="008952DA">
        <w:rPr>
          <w:rFonts w:ascii="Times New Roman" w:hAnsi="Times New Roman" w:cs="Times New Roman"/>
          <w:b/>
          <w:i/>
          <w:sz w:val="32"/>
          <w:szCs w:val="32"/>
        </w:rPr>
        <w:t xml:space="preserve"> ГОД </w:t>
      </w:r>
    </w:p>
    <w:p w:rsidR="00AA01BE" w:rsidRPr="008952DA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52DA">
        <w:rPr>
          <w:rFonts w:ascii="Times New Roman" w:hAnsi="Times New Roman" w:cs="Times New Roman"/>
          <w:b/>
          <w:i/>
          <w:sz w:val="32"/>
          <w:szCs w:val="32"/>
        </w:rPr>
        <w:t>И НА ПЛАНОВЫЙ ПЕРИОД 20</w:t>
      </w:r>
      <w:r w:rsidR="00FB1724" w:rsidRPr="008952DA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704C5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6470D" w:rsidRPr="008952DA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8952DA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435005" w:rsidRPr="008952DA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FB1724" w:rsidRPr="008952DA">
        <w:rPr>
          <w:rFonts w:ascii="Times New Roman" w:hAnsi="Times New Roman" w:cs="Times New Roman"/>
          <w:b/>
          <w:i/>
          <w:sz w:val="32"/>
          <w:szCs w:val="32"/>
        </w:rPr>
        <w:t xml:space="preserve">4 </w:t>
      </w:r>
      <w:r w:rsidRPr="008952DA">
        <w:rPr>
          <w:rFonts w:ascii="Times New Roman" w:hAnsi="Times New Roman" w:cs="Times New Roman"/>
          <w:b/>
          <w:i/>
          <w:sz w:val="32"/>
          <w:szCs w:val="32"/>
        </w:rPr>
        <w:t>ГОДОВ</w:t>
      </w: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952DA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0B5144" w:rsidRPr="008952DA" w:rsidRDefault="00AA01BE" w:rsidP="00AA01BE">
      <w:pPr>
        <w:pStyle w:val="a7"/>
        <w:widowControl w:val="0"/>
        <w:suppressAutoHyphens/>
        <w:jc w:val="center"/>
      </w:pPr>
      <w:r w:rsidRPr="008952DA">
        <w:t>Когалым – 20</w:t>
      </w:r>
      <w:r w:rsidR="00FB1724" w:rsidRPr="008952DA">
        <w:t>18</w:t>
      </w:r>
    </w:p>
    <w:p w:rsidR="000B5144" w:rsidRPr="008952DA" w:rsidRDefault="000B5144" w:rsidP="000B5144">
      <w:pPr>
        <w:rPr>
          <w:rFonts w:ascii="Times New Roman" w:hAnsi="Times New Roman" w:cs="Times New Roman"/>
        </w:rPr>
      </w:pPr>
      <w:r w:rsidRPr="008952DA">
        <w:rPr>
          <w:rFonts w:ascii="Times New Roman" w:hAnsi="Times New Roman" w:cs="Times New Roman"/>
        </w:rPr>
        <w:br w:type="page"/>
      </w:r>
    </w:p>
    <w:p w:rsidR="00E40A2C" w:rsidRPr="008952DA" w:rsidRDefault="00E40A2C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  <w:r w:rsidRPr="008952DA">
        <w:rPr>
          <w:sz w:val="26"/>
          <w:szCs w:val="26"/>
        </w:rPr>
        <w:lastRenderedPageBreak/>
        <w:t>Содержание</w:t>
      </w:r>
    </w:p>
    <w:p w:rsidR="00435005" w:rsidRPr="008952DA" w:rsidRDefault="00435005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</w:p>
    <w:sdt>
      <w:sdtPr>
        <w:rPr>
          <w:rFonts w:ascii="Times New Roman" w:hAnsi="Times New Roman" w:cs="Times New Roman"/>
          <w:color w:val="auto"/>
          <w:lang w:eastAsia="en-US"/>
        </w:rPr>
        <w:id w:val="-119253177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:rsidR="00D4536E" w:rsidRPr="008952DA" w:rsidRDefault="00D4536E" w:rsidP="000B5144">
          <w:pPr>
            <w:pStyle w:val="afc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</w:p>
        <w:p w:rsidR="00F870D1" w:rsidRPr="008952DA" w:rsidRDefault="0051539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r w:rsidRPr="008952DA">
            <w:fldChar w:fldCharType="begin"/>
          </w:r>
          <w:r w:rsidR="00D4536E" w:rsidRPr="008952DA">
            <w:instrText xml:space="preserve"> TOC \o "1-3" \h \z \u </w:instrText>
          </w:r>
          <w:r w:rsidRPr="008952DA">
            <w:fldChar w:fldCharType="separate"/>
          </w:r>
          <w:hyperlink w:anchor="_Toc498075890" w:history="1">
            <w:r w:rsidR="00F870D1" w:rsidRPr="008952DA">
              <w:rPr>
                <w:rStyle w:val="afb"/>
                <w:rFonts w:eastAsia="Calibri"/>
                <w:b/>
                <w:color w:val="auto"/>
                <w:lang w:eastAsia="ru-RU"/>
              </w:rPr>
              <w:t>Общая оценка социально-экономической ситуации в городе Когалыме</w:t>
            </w:r>
            <w:r w:rsidR="00F870D1" w:rsidRPr="008952DA">
              <w:rPr>
                <w:webHidden/>
              </w:rPr>
              <w:tab/>
            </w:r>
            <w:r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_Toc498075890 \h </w:instrText>
            </w:r>
            <w:r w:rsidRPr="008952DA">
              <w:rPr>
                <w:webHidden/>
              </w:rPr>
            </w:r>
            <w:r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3</w:t>
            </w:r>
            <w:r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1" w:history="1">
            <w:r w:rsidR="00F870D1" w:rsidRPr="008952DA">
              <w:rPr>
                <w:rStyle w:val="afb"/>
                <w:rFonts w:eastAsia="Calibri"/>
                <w:b/>
                <w:color w:val="auto"/>
                <w:lang w:eastAsia="ru-RU"/>
              </w:rPr>
              <w:t>за 201</w:t>
            </w:r>
            <w:r w:rsidR="00704C52">
              <w:rPr>
                <w:rStyle w:val="afb"/>
                <w:rFonts w:eastAsia="Calibri"/>
                <w:b/>
                <w:color w:val="auto"/>
                <w:lang w:eastAsia="ru-RU"/>
              </w:rPr>
              <w:t>7</w:t>
            </w:r>
            <w:r w:rsidR="00F870D1" w:rsidRPr="008952DA">
              <w:rPr>
                <w:rStyle w:val="afb"/>
                <w:rFonts w:eastAsia="Calibri"/>
                <w:b/>
                <w:color w:val="auto"/>
                <w:lang w:eastAsia="ru-RU"/>
              </w:rPr>
              <w:t xml:space="preserve"> год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_Toc498075891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3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2" w:history="1">
            <w:r w:rsidR="00F870D1" w:rsidRPr="008952DA">
              <w:rPr>
                <w:rStyle w:val="afb"/>
                <w:b/>
                <w:color w:val="auto"/>
              </w:rPr>
              <w:t>1. ПРОМЫШЛЕННОЕ ПРОИЗВОДСТВО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_Toc498075892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4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3" w:history="1">
            <w:r w:rsidR="00F870D1" w:rsidRPr="008952DA">
              <w:rPr>
                <w:rStyle w:val="afb"/>
                <w:b/>
                <w:color w:val="auto"/>
              </w:rPr>
              <w:t>2. ИНВЕСТИЦИИ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_Toc498075893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9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4" w:history="1">
            <w:r w:rsidR="00F870D1" w:rsidRPr="008952DA">
              <w:rPr>
                <w:rStyle w:val="afb"/>
                <w:b/>
                <w:color w:val="auto"/>
              </w:rPr>
              <w:t>3. СТРОИТЕЛЬСТВО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_Toc498075894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12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5" w:history="1">
            <w:r w:rsidR="00F870D1" w:rsidRPr="008952DA">
              <w:rPr>
                <w:rStyle w:val="afb"/>
                <w:b/>
                <w:color w:val="auto"/>
              </w:rPr>
              <w:t>4. ПОТРЕБИТЕЛЬСКИЙ РЫНОК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_Toc498075895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13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6" w:history="1">
            <w:r w:rsidR="00F870D1" w:rsidRPr="008952DA">
              <w:rPr>
                <w:rStyle w:val="afb"/>
                <w:b/>
                <w:color w:val="auto"/>
              </w:rPr>
              <w:t>4.1. Розничная торговля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_Toc498075896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13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7" w:history="1">
            <w:r w:rsidR="00F870D1" w:rsidRPr="008952DA">
              <w:rPr>
                <w:rStyle w:val="afb"/>
                <w:b/>
                <w:color w:val="auto"/>
              </w:rPr>
              <w:t>4.2. Платные услуги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_Toc498075897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17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8" w:history="1">
            <w:r w:rsidR="00F870D1" w:rsidRPr="008952DA">
              <w:rPr>
                <w:rStyle w:val="afb"/>
                <w:b/>
                <w:color w:val="auto"/>
              </w:rPr>
              <w:t>4.3. Агропромышленный комплекс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_Toc498075898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19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9" w:history="1">
            <w:r w:rsidR="00F870D1" w:rsidRPr="008952DA">
              <w:rPr>
                <w:rStyle w:val="afb"/>
                <w:b/>
                <w:color w:val="auto"/>
              </w:rPr>
              <w:t>5. УРОВЕНЬ ЖИЗНИ НАСЕЛЕНИЯ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_Toc498075899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20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0" w:history="1">
            <w:r w:rsidR="00F870D1" w:rsidRPr="008952DA">
              <w:rPr>
                <w:rStyle w:val="afb"/>
                <w:b/>
                <w:color w:val="auto"/>
              </w:rPr>
              <w:t>6. ТРУД И ЗАНЯТОСТЬ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_Toc498075900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21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1" w:history="1">
            <w:r w:rsidR="00F870D1" w:rsidRPr="008952DA">
              <w:rPr>
                <w:rStyle w:val="afb"/>
                <w:b/>
                <w:color w:val="auto"/>
              </w:rPr>
              <w:t>7. ДЕМОГРАФИЯ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_Toc498075901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23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2" w:history="1">
            <w:r w:rsidR="00F870D1" w:rsidRPr="008952DA">
              <w:rPr>
                <w:rStyle w:val="afb"/>
                <w:b/>
                <w:color w:val="auto"/>
              </w:rPr>
              <w:t>8. РАЗВИТИЕ ОТРАСЛЕЙ СОЦИАЛЬНОЙ СФЕРЫ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_Toc498075902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24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3" w:history="1">
            <w:r w:rsidR="00F870D1" w:rsidRPr="008952DA">
              <w:rPr>
                <w:rStyle w:val="afb"/>
                <w:color w:val="auto"/>
              </w:rPr>
              <w:t>Образование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_Toc498075903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24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4" w:history="1">
            <w:r w:rsidR="00F870D1" w:rsidRPr="008952DA">
              <w:rPr>
                <w:rStyle w:val="afb"/>
                <w:color w:val="auto"/>
              </w:rPr>
              <w:t>Здравоохранение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_Toc498075904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26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5" w:history="1">
            <w:r w:rsidR="00F870D1" w:rsidRPr="008952DA">
              <w:rPr>
                <w:rStyle w:val="afb"/>
                <w:color w:val="auto"/>
              </w:rPr>
              <w:t>Культура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_Toc498075905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27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6" w:history="1">
            <w:r w:rsidR="00F870D1" w:rsidRPr="008952DA">
              <w:rPr>
                <w:rStyle w:val="afb"/>
                <w:color w:val="auto"/>
              </w:rPr>
              <w:t>Физическая культура и спорт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_Toc498075906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28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7" w:history="1">
            <w:r w:rsidR="00F870D1" w:rsidRPr="008952DA">
              <w:rPr>
                <w:rStyle w:val="afb"/>
                <w:b/>
                <w:color w:val="auto"/>
              </w:rPr>
              <w:t>9. МАЛОЕ И СРЕДНЕЕ ПРЕДПРИНИМАТЕЛЬСТВО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_Toc498075907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29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F870D1" w:rsidRPr="008952DA" w:rsidRDefault="00287F0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8" w:history="1">
            <w:r w:rsidR="00F870D1" w:rsidRPr="008952DA">
              <w:rPr>
                <w:rStyle w:val="afb"/>
                <w:b/>
                <w:color w:val="auto"/>
              </w:rPr>
              <w:t>10. БЮДЖЕТ ГОРОДА КОГАЛЫМА</w:t>
            </w:r>
            <w:r w:rsidR="00F870D1" w:rsidRPr="008952DA">
              <w:rPr>
                <w:webHidden/>
              </w:rPr>
              <w:tab/>
            </w:r>
            <w:r w:rsidR="00515398" w:rsidRPr="008952DA">
              <w:rPr>
                <w:webHidden/>
              </w:rPr>
              <w:fldChar w:fldCharType="begin"/>
            </w:r>
            <w:r w:rsidR="00F870D1" w:rsidRPr="008952DA">
              <w:rPr>
                <w:webHidden/>
              </w:rPr>
              <w:instrText xml:space="preserve"> PAGEREF _Toc498075908 \h </w:instrText>
            </w:r>
            <w:r w:rsidR="00515398" w:rsidRPr="008952DA">
              <w:rPr>
                <w:webHidden/>
              </w:rPr>
            </w:r>
            <w:r w:rsidR="00515398" w:rsidRPr="008952DA">
              <w:rPr>
                <w:webHidden/>
              </w:rPr>
              <w:fldChar w:fldCharType="separate"/>
            </w:r>
            <w:r w:rsidR="00704C52">
              <w:rPr>
                <w:webHidden/>
              </w:rPr>
              <w:t>33</w:t>
            </w:r>
            <w:r w:rsidR="00515398" w:rsidRPr="008952DA">
              <w:rPr>
                <w:webHidden/>
              </w:rPr>
              <w:fldChar w:fldCharType="end"/>
            </w:r>
          </w:hyperlink>
        </w:p>
        <w:p w:rsidR="00B564FE" w:rsidRPr="008952DA" w:rsidRDefault="00515398" w:rsidP="00616305">
          <w:pPr>
            <w:pStyle w:val="1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  <w:sectPr w:rsidR="00B564FE" w:rsidRPr="008952DA" w:rsidSect="00857012">
              <w:footerReference w:type="default" r:id="rId8"/>
              <w:pgSz w:w="11906" w:h="16838"/>
              <w:pgMar w:top="1134" w:right="1134" w:bottom="1134" w:left="567" w:header="709" w:footer="709" w:gutter="0"/>
              <w:pgNumType w:start="1"/>
              <w:cols w:space="708"/>
              <w:titlePg/>
              <w:docGrid w:linePitch="360"/>
            </w:sectPr>
          </w:pPr>
          <w:r w:rsidRPr="008952DA">
            <w:rPr>
              <w:rFonts w:ascii="Times New Roman" w:hAnsi="Times New Roman" w:cs="Times New Roman"/>
              <w:bCs/>
              <w:color w:val="auto"/>
              <w:sz w:val="26"/>
              <w:szCs w:val="26"/>
            </w:rPr>
            <w:fldChar w:fldCharType="end"/>
          </w:r>
        </w:p>
      </w:sdtContent>
    </w:sdt>
    <w:p w:rsidR="00990F27" w:rsidRPr="008952DA" w:rsidRDefault="00990F27" w:rsidP="00D4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2DA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:rsidR="00990F27" w:rsidRPr="008952DA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2DA">
        <w:rPr>
          <w:rFonts w:ascii="Times New Roman" w:hAnsi="Times New Roman" w:cs="Times New Roman"/>
          <w:b/>
          <w:bCs/>
          <w:sz w:val="26"/>
          <w:szCs w:val="26"/>
        </w:rPr>
        <w:t>к прогнозу социально-экономического развития</w:t>
      </w:r>
    </w:p>
    <w:p w:rsidR="00990F27" w:rsidRPr="008952DA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2DA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город Когалым на 201</w:t>
      </w:r>
      <w:r w:rsidR="00704C52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8952DA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:rsidR="00990F27" w:rsidRPr="008952DA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2DA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</w:t>
      </w:r>
      <w:r w:rsidR="00704C52">
        <w:rPr>
          <w:rFonts w:ascii="Times New Roman" w:hAnsi="Times New Roman" w:cs="Times New Roman"/>
          <w:b/>
          <w:bCs/>
          <w:sz w:val="26"/>
          <w:szCs w:val="26"/>
        </w:rPr>
        <w:t>20 -</w:t>
      </w:r>
      <w:r w:rsidRPr="008952DA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435005" w:rsidRPr="008952D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04C52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952DA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990F27" w:rsidRPr="008952DA" w:rsidRDefault="00990F27" w:rsidP="00990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C9C" w:rsidRPr="008952DA" w:rsidRDefault="00690C9C" w:rsidP="00BE2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социально-экономического развития города Когалыма на 201</w:t>
      </w:r>
      <w:r w:rsidR="00FB172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</w:t>
      </w:r>
      <w:r w:rsidR="00FB172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704C52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="00704C52" w:rsidRPr="008952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B172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(далее – прогноз) разработан на основе сценарных условий социально-экономического </w:t>
      </w:r>
      <w:r w:rsidR="004F030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развития Российской Федерации,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целе</w:t>
      </w:r>
      <w:r w:rsidR="0051539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begin"/>
      </w:r>
      <w:r w:rsidR="00D431BB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instrText xml:space="preserve"> TOC \o "1-1" \h \z \u </w:instrText>
      </w:r>
      <w:r w:rsidR="0051539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end"/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вых индикаторов социально-экономического развития, сформулированных в указах Президента Российской Федерации от 7 мая 2012 года</w:t>
      </w:r>
      <w:r w:rsidR="0052588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E27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Указе Президента </w:t>
      </w:r>
      <w:r w:rsidR="00BE27A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Российской Федерации </w:t>
      </w:r>
      <w:r w:rsidR="00BE27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7 мая 2018 года №204 «О национальных целях и стратегических задачах развития Российской Федерации на период до 2024 года»,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приоритетов, обозначенных в Стратегии социально-экономического развития Ханты-Мансийского автономного округа </w:t>
      </w:r>
      <w:r w:rsidR="0052588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Югры</w:t>
      </w:r>
      <w:r w:rsidR="0052588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Стратегии социально-экономического развития городского округа города Когалыма до 2020 года и на период д</w:t>
      </w:r>
      <w:r w:rsidR="0043500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 2030 года, а также нормативных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</w:t>
      </w:r>
      <w:r w:rsidR="0043500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Правительства Российской Федерации и Ханты-Мансийского автономного округа - Югры.</w:t>
      </w:r>
    </w:p>
    <w:p w:rsidR="00690C9C" w:rsidRPr="008952DA" w:rsidRDefault="00FB1724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Основные показатели прогноза </w:t>
      </w:r>
      <w:r w:rsidR="00690C9C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сформированы на основе анализа экономической ситуации за 201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690C9C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год, предварительной оценки развития экономики города Когалыма в 201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690C9C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показателей, представленных предприятиями и организациями, осуществляющих свою деятельность в городе Когалыме, с учетом сложившихся тенденций.</w:t>
      </w:r>
    </w:p>
    <w:p w:rsidR="00690C9C" w:rsidRPr="008952DA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прогноза осуществлялась по </w:t>
      </w:r>
      <w:r w:rsidR="00FB172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двум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вариантам:</w:t>
      </w:r>
    </w:p>
    <w:p w:rsidR="00690C9C" w:rsidRPr="008952DA" w:rsidRDefault="00435005" w:rsidP="00690C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45AD7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базовый</w:t>
      </w:r>
      <w:r w:rsidR="00690C9C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</w:t>
      </w:r>
      <w:r w:rsidR="006633B6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гнации государственного спроса;</w:t>
      </w:r>
    </w:p>
    <w:p w:rsidR="00690C9C" w:rsidRPr="008952DA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45AD7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целевой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более высокие темпы социально-экономического развития экономики города Когалыма в условиях реализации активной муниципальной политики, направленной на стимулирование экономического роста, на улучшение инвестиционного климата, конкурентоспособности и эффективности бизнеса.</w:t>
      </w:r>
    </w:p>
    <w:p w:rsidR="00690C9C" w:rsidRPr="008952DA" w:rsidRDefault="00232820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Для разработки параметров бюджета города Когалыма на 201</w:t>
      </w:r>
      <w:r w:rsidR="00FB172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DF65F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</w:t>
      </w:r>
      <w:r w:rsidR="00FB172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704C52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="00704C52" w:rsidRPr="008952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65F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B1724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DF65F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90C9C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предлагается рассматривать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исходным базовый вариант основных показателей прогноза социально-экономического развития города Когалыма.</w:t>
      </w:r>
    </w:p>
    <w:p w:rsidR="00B53694" w:rsidRPr="008952DA" w:rsidRDefault="00B536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5536F" w:rsidRPr="008952DA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0" w:name="_Toc498075890"/>
      <w:r w:rsidRPr="008952DA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Общая оценка социально-экономической ситуации в городе Когалыме</w:t>
      </w:r>
      <w:bookmarkEnd w:id="0"/>
      <w:r w:rsidRPr="008952DA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</w:t>
      </w:r>
    </w:p>
    <w:p w:rsidR="00F05A30" w:rsidRPr="008952DA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1" w:name="_Toc498075891"/>
      <w:r w:rsidRPr="008952DA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за 201</w:t>
      </w:r>
      <w:r w:rsidR="00FB1724" w:rsidRPr="008952DA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7</w:t>
      </w:r>
      <w:r w:rsidRPr="008952DA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год</w:t>
      </w:r>
      <w:bookmarkEnd w:id="1"/>
    </w:p>
    <w:p w:rsidR="00F05A30" w:rsidRPr="008952DA" w:rsidRDefault="00F05A30" w:rsidP="004352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46900" w:rsidRPr="008952DA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течение отчетного периода Администрацией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</w:t>
      </w:r>
    </w:p>
    <w:p w:rsidR="00146900" w:rsidRPr="008952DA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lastRenderedPageBreak/>
        <w:t>Среднегодовая численность населения города Когалыма в 201</w:t>
      </w:r>
      <w:r w:rsidR="00FB1724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</w:t>
      </w:r>
      <w:r w:rsidR="00231341" w:rsidRPr="008952DA">
        <w:rPr>
          <w:rFonts w:ascii="Times New Roman" w:hAnsi="Times New Roman" w:cs="Times New Roman"/>
          <w:sz w:val="26"/>
          <w:szCs w:val="26"/>
        </w:rPr>
        <w:t>у</w:t>
      </w:r>
      <w:r w:rsidRPr="008952DA">
        <w:rPr>
          <w:rFonts w:ascii="Times New Roman" w:hAnsi="Times New Roman" w:cs="Times New Roman"/>
          <w:sz w:val="26"/>
          <w:szCs w:val="26"/>
        </w:rPr>
        <w:t xml:space="preserve"> увеличилась по сравнению с 201</w:t>
      </w:r>
      <w:r w:rsidR="00FB1724" w:rsidRPr="008952DA">
        <w:rPr>
          <w:rFonts w:ascii="Times New Roman" w:hAnsi="Times New Roman" w:cs="Times New Roman"/>
          <w:sz w:val="26"/>
          <w:szCs w:val="26"/>
        </w:rPr>
        <w:t>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49786F" w:rsidRPr="008952DA">
        <w:rPr>
          <w:rFonts w:ascii="Times New Roman" w:hAnsi="Times New Roman" w:cs="Times New Roman"/>
          <w:sz w:val="26"/>
          <w:szCs w:val="26"/>
        </w:rPr>
        <w:t>2</w:t>
      </w:r>
      <w:r w:rsidR="00FB1724" w:rsidRPr="008952DA">
        <w:rPr>
          <w:rFonts w:ascii="Times New Roman" w:hAnsi="Times New Roman" w:cs="Times New Roman"/>
          <w:sz w:val="26"/>
          <w:szCs w:val="26"/>
        </w:rPr>
        <w:t>,3</w:t>
      </w:r>
      <w:r w:rsidRPr="008952DA">
        <w:rPr>
          <w:rFonts w:ascii="Times New Roman" w:hAnsi="Times New Roman" w:cs="Times New Roman"/>
          <w:sz w:val="26"/>
          <w:szCs w:val="26"/>
        </w:rPr>
        <w:t xml:space="preserve">% и составила </w:t>
      </w:r>
      <w:r w:rsidR="00FB1724" w:rsidRPr="008952DA">
        <w:rPr>
          <w:rFonts w:ascii="Times New Roman" w:hAnsi="Times New Roman" w:cs="Times New Roman"/>
          <w:sz w:val="26"/>
          <w:szCs w:val="26"/>
        </w:rPr>
        <w:t>65,61</w:t>
      </w:r>
      <w:r w:rsidR="0049786F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>тыс. человек.</w:t>
      </w:r>
    </w:p>
    <w:p w:rsidR="00146900" w:rsidRPr="008952DA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Показателем развития любого общества является уровень жизни людей.</w:t>
      </w:r>
    </w:p>
    <w:p w:rsidR="00146900" w:rsidRPr="008952DA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Денежные</w:t>
      </w:r>
      <w:r w:rsidR="00FF49E4" w:rsidRPr="008952DA">
        <w:rPr>
          <w:rFonts w:ascii="Times New Roman" w:hAnsi="Times New Roman" w:cs="Times New Roman"/>
          <w:sz w:val="26"/>
          <w:szCs w:val="26"/>
        </w:rPr>
        <w:t xml:space="preserve"> доходы на душу населения в 201</w:t>
      </w:r>
      <w:r w:rsidR="00FB1724" w:rsidRPr="008952DA">
        <w:rPr>
          <w:rFonts w:ascii="Times New Roman" w:hAnsi="Times New Roman" w:cs="Times New Roman"/>
          <w:sz w:val="26"/>
          <w:szCs w:val="26"/>
        </w:rPr>
        <w:t xml:space="preserve">7 </w:t>
      </w:r>
      <w:r w:rsidRPr="008952DA">
        <w:rPr>
          <w:rFonts w:ascii="Times New Roman" w:hAnsi="Times New Roman" w:cs="Times New Roman"/>
          <w:sz w:val="26"/>
          <w:szCs w:val="26"/>
        </w:rPr>
        <w:t xml:space="preserve">году составили </w:t>
      </w:r>
      <w:r w:rsidR="00FB1724" w:rsidRPr="008952DA">
        <w:rPr>
          <w:rFonts w:ascii="Times New Roman" w:hAnsi="Times New Roman" w:cs="Times New Roman"/>
          <w:sz w:val="26"/>
          <w:szCs w:val="26"/>
        </w:rPr>
        <w:t>42</w:t>
      </w:r>
      <w:r w:rsidR="00AA6C80">
        <w:rPr>
          <w:rFonts w:ascii="Times New Roman" w:hAnsi="Times New Roman" w:cs="Times New Roman"/>
          <w:sz w:val="26"/>
          <w:szCs w:val="26"/>
        </w:rPr>
        <w:t> 242,4</w:t>
      </w:r>
      <w:r w:rsidRPr="008952DA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="0049786F" w:rsidRPr="008952DA">
        <w:rPr>
          <w:rFonts w:ascii="Times New Roman" w:hAnsi="Times New Roman" w:cs="Times New Roman"/>
          <w:sz w:val="26"/>
          <w:szCs w:val="26"/>
        </w:rPr>
        <w:t>увеличившись</w:t>
      </w:r>
      <w:r w:rsidRPr="008952DA">
        <w:rPr>
          <w:rFonts w:ascii="Times New Roman" w:hAnsi="Times New Roman" w:cs="Times New Roman"/>
          <w:sz w:val="26"/>
          <w:szCs w:val="26"/>
        </w:rPr>
        <w:t xml:space="preserve"> на </w:t>
      </w:r>
      <w:r w:rsidR="00AA6C80">
        <w:rPr>
          <w:rFonts w:ascii="Times New Roman" w:hAnsi="Times New Roman" w:cs="Times New Roman"/>
          <w:sz w:val="26"/>
          <w:szCs w:val="26"/>
        </w:rPr>
        <w:t>2,4</w:t>
      </w:r>
      <w:r w:rsidRPr="008952DA">
        <w:rPr>
          <w:rFonts w:ascii="Times New Roman" w:hAnsi="Times New Roman" w:cs="Times New Roman"/>
          <w:sz w:val="26"/>
          <w:szCs w:val="26"/>
        </w:rPr>
        <w:t>% к соответствующему периоду прошлого года.</w:t>
      </w:r>
    </w:p>
    <w:p w:rsidR="00146900" w:rsidRPr="008952DA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Реальные располагаемые денежные доходы в расчёте на душу населения (скорректированные на уровень инфляции) составили </w:t>
      </w:r>
      <w:r w:rsidR="00AA6C80">
        <w:rPr>
          <w:rFonts w:ascii="Times New Roman" w:hAnsi="Times New Roman" w:cs="Times New Roman"/>
          <w:sz w:val="26"/>
          <w:szCs w:val="26"/>
        </w:rPr>
        <w:t>99,1</w:t>
      </w:r>
      <w:r w:rsidRPr="008952DA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8952DA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Среднемесячная</w:t>
      </w:r>
      <w:r w:rsidR="00940425">
        <w:rPr>
          <w:rFonts w:ascii="Times New Roman" w:hAnsi="Times New Roman" w:cs="Times New Roman"/>
          <w:sz w:val="26"/>
          <w:szCs w:val="26"/>
        </w:rPr>
        <w:t xml:space="preserve"> номинальная</w:t>
      </w:r>
      <w:r w:rsidRPr="008952DA">
        <w:rPr>
          <w:rFonts w:ascii="Times New Roman" w:hAnsi="Times New Roman" w:cs="Times New Roman"/>
          <w:sz w:val="26"/>
          <w:szCs w:val="26"/>
        </w:rPr>
        <w:t xml:space="preserve"> начисленная заработная плата по городу Когалыму на 1 работника в 201</w:t>
      </w:r>
      <w:r w:rsidR="00FB1724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AA6C80">
        <w:rPr>
          <w:rFonts w:ascii="Times New Roman" w:hAnsi="Times New Roman" w:cs="Times New Roman"/>
          <w:sz w:val="26"/>
          <w:szCs w:val="26"/>
        </w:rPr>
        <w:t>64 131,0</w:t>
      </w:r>
      <w:r w:rsidRPr="008952DA">
        <w:rPr>
          <w:rFonts w:ascii="Times New Roman" w:hAnsi="Times New Roman" w:cs="Times New Roman"/>
          <w:sz w:val="26"/>
          <w:szCs w:val="26"/>
        </w:rPr>
        <w:t xml:space="preserve"> рубл</w:t>
      </w:r>
      <w:r w:rsidR="00AA6C80">
        <w:rPr>
          <w:rFonts w:ascii="Times New Roman" w:hAnsi="Times New Roman" w:cs="Times New Roman"/>
          <w:sz w:val="26"/>
          <w:szCs w:val="26"/>
        </w:rPr>
        <w:t>ь</w:t>
      </w:r>
      <w:r w:rsidRPr="008952DA">
        <w:rPr>
          <w:rFonts w:ascii="Times New Roman" w:hAnsi="Times New Roman" w:cs="Times New Roman"/>
          <w:sz w:val="26"/>
          <w:szCs w:val="26"/>
        </w:rPr>
        <w:t xml:space="preserve"> (прирост к соответствующему периоду прошлого года </w:t>
      </w:r>
      <w:r w:rsidR="00940425">
        <w:rPr>
          <w:rFonts w:ascii="Times New Roman" w:hAnsi="Times New Roman" w:cs="Times New Roman"/>
          <w:sz w:val="26"/>
          <w:szCs w:val="26"/>
        </w:rPr>
        <w:t>105,</w:t>
      </w:r>
      <w:r w:rsidR="00AA6C80">
        <w:rPr>
          <w:rFonts w:ascii="Times New Roman" w:hAnsi="Times New Roman" w:cs="Times New Roman"/>
          <w:sz w:val="26"/>
          <w:szCs w:val="26"/>
        </w:rPr>
        <w:t>5</w:t>
      </w:r>
      <w:r w:rsidRPr="008952DA">
        <w:rPr>
          <w:rFonts w:ascii="Times New Roman" w:hAnsi="Times New Roman" w:cs="Times New Roman"/>
          <w:sz w:val="26"/>
          <w:szCs w:val="26"/>
        </w:rPr>
        <w:t>%).</w:t>
      </w:r>
    </w:p>
    <w:p w:rsidR="0021331B" w:rsidRPr="008952DA" w:rsidRDefault="00555BD7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На фоне сложившейся экономической ситуации уровень регистрируемой безработицы в 201</w:t>
      </w:r>
      <w:r w:rsidR="00FB1724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9445C">
        <w:rPr>
          <w:rFonts w:ascii="Times New Roman" w:hAnsi="Times New Roman" w:cs="Times New Roman"/>
          <w:sz w:val="26"/>
          <w:szCs w:val="26"/>
        </w:rPr>
        <w:t xml:space="preserve">остался на уровне </w:t>
      </w:r>
      <w:r w:rsidRPr="008952DA">
        <w:rPr>
          <w:rFonts w:ascii="Times New Roman" w:hAnsi="Times New Roman" w:cs="Times New Roman"/>
          <w:sz w:val="26"/>
          <w:szCs w:val="26"/>
        </w:rPr>
        <w:t>201</w:t>
      </w:r>
      <w:r w:rsidR="00FB1724" w:rsidRPr="008952DA">
        <w:rPr>
          <w:rFonts w:ascii="Times New Roman" w:hAnsi="Times New Roman" w:cs="Times New Roman"/>
          <w:sz w:val="26"/>
          <w:szCs w:val="26"/>
        </w:rPr>
        <w:t>6</w:t>
      </w:r>
      <w:r w:rsidR="00B9445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21331B" w:rsidRPr="008952DA">
        <w:rPr>
          <w:rFonts w:ascii="Times New Roman" w:hAnsi="Times New Roman" w:cs="Times New Roman"/>
          <w:sz w:val="26"/>
          <w:szCs w:val="26"/>
        </w:rPr>
        <w:t>и составил 0,</w:t>
      </w:r>
      <w:r w:rsidR="003B5F91" w:rsidRPr="008952DA">
        <w:rPr>
          <w:rFonts w:ascii="Times New Roman" w:hAnsi="Times New Roman" w:cs="Times New Roman"/>
          <w:sz w:val="26"/>
          <w:szCs w:val="26"/>
        </w:rPr>
        <w:t>3</w:t>
      </w:r>
      <w:r w:rsidR="00AA6C80">
        <w:rPr>
          <w:rFonts w:ascii="Times New Roman" w:hAnsi="Times New Roman" w:cs="Times New Roman"/>
          <w:sz w:val="26"/>
          <w:szCs w:val="26"/>
        </w:rPr>
        <w:t>5</w:t>
      </w:r>
      <w:r w:rsidR="0021331B" w:rsidRPr="008952DA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AD20C0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201</w:t>
      </w:r>
      <w:r w:rsidR="0049521D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увеличилось количество субъектов малого и среднего предпринимательства (с учетом индивидуальных предпринимателей) по сравнению с 201</w:t>
      </w:r>
      <w:r w:rsidR="0049521D" w:rsidRPr="008952DA">
        <w:rPr>
          <w:rFonts w:ascii="Times New Roman" w:hAnsi="Times New Roman" w:cs="Times New Roman"/>
          <w:sz w:val="26"/>
          <w:szCs w:val="26"/>
        </w:rPr>
        <w:t>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49521D" w:rsidRPr="008952DA">
        <w:rPr>
          <w:rFonts w:ascii="Times New Roman" w:hAnsi="Times New Roman" w:cs="Times New Roman"/>
          <w:sz w:val="26"/>
          <w:szCs w:val="26"/>
        </w:rPr>
        <w:t>11,8</w:t>
      </w:r>
      <w:r w:rsidRPr="008952DA">
        <w:rPr>
          <w:rFonts w:ascii="Times New Roman" w:hAnsi="Times New Roman" w:cs="Times New Roman"/>
          <w:sz w:val="26"/>
          <w:szCs w:val="26"/>
        </w:rPr>
        <w:t xml:space="preserve">% и составило </w:t>
      </w:r>
      <w:r w:rsidRPr="00AD20C0">
        <w:rPr>
          <w:rFonts w:ascii="Times New Roman" w:hAnsi="Times New Roman" w:cs="Times New Roman"/>
          <w:sz w:val="26"/>
          <w:szCs w:val="26"/>
        </w:rPr>
        <w:t>1</w:t>
      </w:r>
      <w:r w:rsidR="00FD1E00" w:rsidRPr="00AD20C0">
        <w:rPr>
          <w:rFonts w:ascii="Times New Roman" w:hAnsi="Times New Roman" w:cs="Times New Roman"/>
          <w:sz w:val="26"/>
          <w:szCs w:val="26"/>
        </w:rPr>
        <w:t> </w:t>
      </w:r>
      <w:r w:rsidR="0049521D" w:rsidRPr="00AD20C0">
        <w:rPr>
          <w:rFonts w:ascii="Times New Roman" w:hAnsi="Times New Roman" w:cs="Times New Roman"/>
          <w:sz w:val="26"/>
          <w:szCs w:val="26"/>
        </w:rPr>
        <w:t>654</w:t>
      </w:r>
      <w:r w:rsidRPr="00AD20C0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49521D" w:rsidRPr="00AD20C0">
        <w:rPr>
          <w:rFonts w:ascii="Times New Roman" w:hAnsi="Times New Roman" w:cs="Times New Roman"/>
          <w:sz w:val="26"/>
          <w:szCs w:val="26"/>
        </w:rPr>
        <w:t>а</w:t>
      </w:r>
      <w:r w:rsidRPr="00AD20C0">
        <w:rPr>
          <w:rFonts w:ascii="Times New Roman" w:hAnsi="Times New Roman" w:cs="Times New Roman"/>
          <w:sz w:val="26"/>
          <w:szCs w:val="26"/>
        </w:rPr>
        <w:t xml:space="preserve"> (201</w:t>
      </w:r>
      <w:r w:rsidR="0049521D" w:rsidRPr="00AD20C0">
        <w:rPr>
          <w:rFonts w:ascii="Times New Roman" w:hAnsi="Times New Roman" w:cs="Times New Roman"/>
          <w:sz w:val="26"/>
          <w:szCs w:val="26"/>
        </w:rPr>
        <w:t>6</w:t>
      </w:r>
      <w:r w:rsidRPr="00AD20C0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B5F91" w:rsidRPr="00AD20C0">
        <w:rPr>
          <w:rFonts w:ascii="Times New Roman" w:hAnsi="Times New Roman" w:cs="Times New Roman"/>
          <w:sz w:val="26"/>
          <w:szCs w:val="26"/>
        </w:rPr>
        <w:t>1</w:t>
      </w:r>
      <w:r w:rsidR="00FD1E00" w:rsidRPr="00AD20C0">
        <w:rPr>
          <w:rFonts w:ascii="Times New Roman" w:hAnsi="Times New Roman" w:cs="Times New Roman"/>
          <w:sz w:val="26"/>
          <w:szCs w:val="26"/>
        </w:rPr>
        <w:t> </w:t>
      </w:r>
      <w:r w:rsidR="0049521D" w:rsidRPr="00AD20C0">
        <w:rPr>
          <w:rFonts w:ascii="Times New Roman" w:hAnsi="Times New Roman" w:cs="Times New Roman"/>
          <w:sz w:val="26"/>
          <w:szCs w:val="26"/>
        </w:rPr>
        <w:t>480</w:t>
      </w:r>
      <w:r w:rsidRPr="00AD20C0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9972D4" w:rsidRPr="00AD20C0">
        <w:rPr>
          <w:rFonts w:ascii="Times New Roman" w:hAnsi="Times New Roman" w:cs="Times New Roman"/>
          <w:sz w:val="26"/>
          <w:szCs w:val="26"/>
        </w:rPr>
        <w:t>ов</w:t>
      </w:r>
      <w:r w:rsidRPr="00AD20C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B5F91" w:rsidRPr="008952DA" w:rsidRDefault="003B5F91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C0">
        <w:rPr>
          <w:rFonts w:ascii="Times New Roman" w:hAnsi="Times New Roman" w:cs="Times New Roman"/>
          <w:sz w:val="26"/>
          <w:szCs w:val="26"/>
        </w:rPr>
        <w:t>В 201</w:t>
      </w:r>
      <w:r w:rsidR="0049521D" w:rsidRPr="00AD20C0">
        <w:rPr>
          <w:rFonts w:ascii="Times New Roman" w:hAnsi="Times New Roman" w:cs="Times New Roman"/>
          <w:sz w:val="26"/>
          <w:szCs w:val="26"/>
        </w:rPr>
        <w:t>7</w:t>
      </w:r>
      <w:r w:rsidRPr="00AD20C0">
        <w:rPr>
          <w:rFonts w:ascii="Times New Roman" w:hAnsi="Times New Roman" w:cs="Times New Roman"/>
          <w:sz w:val="26"/>
          <w:szCs w:val="26"/>
        </w:rPr>
        <w:t xml:space="preserve"> году ввод жилья составил </w:t>
      </w:r>
      <w:r w:rsidR="0049521D" w:rsidRPr="00AD20C0">
        <w:rPr>
          <w:rFonts w:ascii="Times New Roman" w:hAnsi="Times New Roman" w:cs="Times New Roman"/>
          <w:sz w:val="26"/>
          <w:szCs w:val="26"/>
        </w:rPr>
        <w:t>25,4</w:t>
      </w:r>
      <w:r w:rsidRPr="00AD20C0">
        <w:rPr>
          <w:rFonts w:ascii="Times New Roman" w:hAnsi="Times New Roman" w:cs="Times New Roman"/>
          <w:sz w:val="26"/>
          <w:szCs w:val="26"/>
        </w:rPr>
        <w:t xml:space="preserve"> тыс. </w:t>
      </w:r>
      <w:proofErr w:type="spellStart"/>
      <w:r w:rsidRPr="00AD20C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AD20C0">
        <w:rPr>
          <w:rFonts w:ascii="Times New Roman" w:hAnsi="Times New Roman" w:cs="Times New Roman"/>
          <w:sz w:val="26"/>
          <w:szCs w:val="26"/>
        </w:rPr>
        <w:t>., в том числе</w:t>
      </w:r>
      <w:r w:rsidRPr="008952DA">
        <w:rPr>
          <w:rFonts w:ascii="Times New Roman" w:hAnsi="Times New Roman" w:cs="Times New Roman"/>
          <w:sz w:val="26"/>
          <w:szCs w:val="26"/>
        </w:rPr>
        <w:t xml:space="preserve"> индивидуальное жилищное строительство площадью 1,3 тыс. кв. м.</w:t>
      </w:r>
    </w:p>
    <w:p w:rsidR="00CD0F2B" w:rsidRPr="008952DA" w:rsidRDefault="00CD0F2B" w:rsidP="00CD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201</w:t>
      </w:r>
      <w:r w:rsidR="00DD65DB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отмечалась стабильная работа предприятий жилищно-коммунального комплекса. Своевременная и качественная подготовка к осенне-зимнему периоду 201</w:t>
      </w:r>
      <w:r w:rsidR="00DD65DB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>-201</w:t>
      </w:r>
      <w:r w:rsidR="00DD65DB" w:rsidRPr="008952DA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годов обеспечила надежное и безаварийное тепло -, водо</w:t>
      </w:r>
      <w:r w:rsidR="00351886" w:rsidRPr="008952DA">
        <w:rPr>
          <w:rFonts w:ascii="Times New Roman" w:hAnsi="Times New Roman" w:cs="Times New Roman"/>
          <w:sz w:val="26"/>
          <w:szCs w:val="26"/>
        </w:rPr>
        <w:t>-</w:t>
      </w:r>
      <w:r w:rsidRPr="008952DA">
        <w:rPr>
          <w:rFonts w:ascii="Times New Roman" w:hAnsi="Times New Roman" w:cs="Times New Roman"/>
          <w:sz w:val="26"/>
          <w:szCs w:val="26"/>
        </w:rPr>
        <w:t xml:space="preserve"> и электроснабжение потребителей города в зимний период.</w:t>
      </w:r>
    </w:p>
    <w:p w:rsidR="003B5F91" w:rsidRPr="008952DA" w:rsidRDefault="003B5F91" w:rsidP="003B5F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Продолжилась реконструкция киноконцертного комплекса «Янтарь» под филиал Государственного акад</w:t>
      </w:r>
      <w:r w:rsidR="00DD65DB" w:rsidRPr="008952DA">
        <w:rPr>
          <w:rFonts w:ascii="Times New Roman" w:hAnsi="Times New Roman" w:cs="Times New Roman"/>
          <w:sz w:val="26"/>
          <w:szCs w:val="26"/>
        </w:rPr>
        <w:t>емического Малого театра России.</w:t>
      </w:r>
    </w:p>
    <w:p w:rsidR="00D5737E" w:rsidRPr="008952DA" w:rsidRDefault="00A97070" w:rsidP="00D5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прогнозный период запланировано строительство </w:t>
      </w:r>
      <w:r w:rsidRPr="00FC59A3">
        <w:rPr>
          <w:rFonts w:ascii="Times New Roman" w:hAnsi="Times New Roman" w:cs="Times New Roman"/>
          <w:sz w:val="26"/>
          <w:szCs w:val="26"/>
        </w:rPr>
        <w:t>двух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общеобразовательных школ и детского сада.</w:t>
      </w:r>
    </w:p>
    <w:p w:rsidR="00CD0F2B" w:rsidRPr="008952DA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течение 201</w:t>
      </w:r>
      <w:r w:rsidR="001A5675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года органами местного самоуправления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 </w:t>
      </w:r>
    </w:p>
    <w:p w:rsidR="00CD0F2B" w:rsidRPr="008952DA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Принимаемые меры по реализации приоритетных направлений экономической политики позволяют по многим показателям ожидать стабильных темпов развития и в 201</w:t>
      </w:r>
      <w:r w:rsidR="001A5675" w:rsidRPr="008952DA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CD0F2B" w:rsidRPr="008952DA" w:rsidRDefault="00CD0F2B" w:rsidP="00D573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45DC2" w:rsidRPr="008952DA" w:rsidRDefault="00D45DC2" w:rsidP="00D45DC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" w:name="_Toc498075892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1. ПРОМЫШЛЕННОЕ ПРОИЗВОДСТВО</w:t>
      </w:r>
      <w:bookmarkEnd w:id="2"/>
    </w:p>
    <w:p w:rsidR="00D45DC2" w:rsidRPr="008952DA" w:rsidRDefault="00D45DC2" w:rsidP="00D45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Расчет прогноза объемов отгруженных товаров собственного производства, выполненных работ и услуг собственными силами по промышленным</w:t>
      </w:r>
      <w:r w:rsidR="00D60164" w:rsidRPr="008952DA">
        <w:rPr>
          <w:rFonts w:ascii="Times New Roman" w:hAnsi="Times New Roman" w:cs="Times New Roman"/>
          <w:sz w:val="26"/>
          <w:szCs w:val="26"/>
        </w:rPr>
        <w:t xml:space="preserve"> видам деятельности на 2019-2024 годы включает оценку 2018 года и отчет за 2017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При разработке прогноза были учтены особенности сложившейся структуры и объемов отгрузки п</w:t>
      </w:r>
      <w:r w:rsidR="00D60164" w:rsidRPr="008952DA">
        <w:rPr>
          <w:rFonts w:ascii="Times New Roman" w:hAnsi="Times New Roman" w:cs="Times New Roman"/>
          <w:sz w:val="26"/>
          <w:szCs w:val="26"/>
        </w:rPr>
        <w:t>ромышленного производства в 2017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году. Оценка ожидаемых объемов отгру</w:t>
      </w:r>
      <w:r w:rsidR="00D60164" w:rsidRPr="008952DA">
        <w:rPr>
          <w:rFonts w:ascii="Times New Roman" w:hAnsi="Times New Roman" w:cs="Times New Roman"/>
          <w:sz w:val="26"/>
          <w:szCs w:val="26"/>
        </w:rPr>
        <w:t>женных товаров в 2018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осуществлена на основании ежемесячных статистических данных, а также информации, полученной непосредственно от хозяйствующих субъектов.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lastRenderedPageBreak/>
        <w:t>Промышленность играет существенную роль в экономике города Когалыма, от ее развития зависит наполняемость бюджета и решение многих социальных проблем в городе.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Промышленный комплекс города Когалыма представлен следующими основными отраслями промышленности: добыча полезных ископаемых, обрабатывающие производства, производство и распределение электроэнергии, газа и воды.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городе Когалыме осуществляют свою деятельность более 40 крупных и средних промышленных предприятий.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Основные параметры развития промышленности были проведены </w:t>
      </w:r>
      <w:r w:rsidRPr="00201767">
        <w:rPr>
          <w:rFonts w:ascii="Times New Roman" w:hAnsi="Times New Roman" w:cs="Times New Roman"/>
          <w:sz w:val="26"/>
          <w:szCs w:val="26"/>
        </w:rPr>
        <w:t xml:space="preserve">по </w:t>
      </w:r>
      <w:r w:rsidR="00201767" w:rsidRPr="00201767">
        <w:rPr>
          <w:rFonts w:ascii="Times New Roman" w:hAnsi="Times New Roman" w:cs="Times New Roman"/>
          <w:sz w:val="26"/>
          <w:szCs w:val="26"/>
        </w:rPr>
        <w:t>двум</w:t>
      </w:r>
      <w:r w:rsidRPr="00201767">
        <w:rPr>
          <w:rFonts w:ascii="Times New Roman" w:hAnsi="Times New Roman" w:cs="Times New Roman"/>
          <w:sz w:val="26"/>
          <w:szCs w:val="26"/>
        </w:rPr>
        <w:t xml:space="preserve"> вариантам с учетом сложившейся динамики производства и результато</w:t>
      </w:r>
      <w:r w:rsidR="00D60164" w:rsidRPr="00201767">
        <w:rPr>
          <w:rFonts w:ascii="Times New Roman" w:hAnsi="Times New Roman" w:cs="Times New Roman"/>
          <w:sz w:val="26"/>
          <w:szCs w:val="26"/>
        </w:rPr>
        <w:t>в</w:t>
      </w:r>
      <w:r w:rsidR="00D60164" w:rsidRPr="008952DA">
        <w:rPr>
          <w:rFonts w:ascii="Times New Roman" w:hAnsi="Times New Roman" w:cs="Times New Roman"/>
          <w:sz w:val="26"/>
          <w:szCs w:val="26"/>
        </w:rPr>
        <w:t xml:space="preserve"> деятельности в 2017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На среднесрочную перспективу 201</w:t>
      </w:r>
      <w:r w:rsidR="00D60164" w:rsidRPr="008952DA">
        <w:rPr>
          <w:rFonts w:ascii="Times New Roman" w:hAnsi="Times New Roman" w:cs="Times New Roman"/>
          <w:sz w:val="26"/>
          <w:szCs w:val="26"/>
        </w:rPr>
        <w:t>9-2024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годов, по базовому варианту прогнозируется рост объемов промышленного сектора экономики города Когалыма, и соответственно индексов промышленного производства до </w:t>
      </w:r>
      <w:r w:rsidR="00D60164" w:rsidRPr="008952DA">
        <w:rPr>
          <w:rFonts w:ascii="Times New Roman" w:hAnsi="Times New Roman" w:cs="Times New Roman"/>
          <w:sz w:val="26"/>
          <w:szCs w:val="26"/>
        </w:rPr>
        <w:t>102,16% в 2024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году. По про</w:t>
      </w:r>
      <w:r w:rsidR="00D60164" w:rsidRPr="008952DA">
        <w:rPr>
          <w:rFonts w:ascii="Times New Roman" w:hAnsi="Times New Roman" w:cs="Times New Roman"/>
          <w:sz w:val="26"/>
          <w:szCs w:val="26"/>
        </w:rPr>
        <w:t>гнозу в 2024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объем отгруженной продукции промышленными предприятиями достигнет уровня </w:t>
      </w:r>
      <w:r w:rsidR="00D60164" w:rsidRPr="008952DA">
        <w:rPr>
          <w:rFonts w:ascii="Times New Roman" w:hAnsi="Times New Roman" w:cs="Times New Roman"/>
          <w:sz w:val="26"/>
          <w:szCs w:val="26"/>
        </w:rPr>
        <w:t>46 052,9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условиях базового вар</w:t>
      </w:r>
      <w:r w:rsidR="00D60164" w:rsidRPr="008952DA">
        <w:rPr>
          <w:rFonts w:ascii="Times New Roman" w:hAnsi="Times New Roman" w:cs="Times New Roman"/>
          <w:sz w:val="26"/>
          <w:szCs w:val="26"/>
        </w:rPr>
        <w:t>ианта, более сдержанного, в 2019 году по отношению к 2018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индекс производства составит </w:t>
      </w:r>
      <w:r w:rsidR="00D60164" w:rsidRPr="008952DA">
        <w:rPr>
          <w:rFonts w:ascii="Times New Roman" w:hAnsi="Times New Roman" w:cs="Times New Roman"/>
          <w:sz w:val="26"/>
          <w:szCs w:val="26"/>
        </w:rPr>
        <w:t>10</w:t>
      </w:r>
      <w:r w:rsidR="00496115">
        <w:rPr>
          <w:rFonts w:ascii="Times New Roman" w:hAnsi="Times New Roman" w:cs="Times New Roman"/>
          <w:sz w:val="26"/>
          <w:szCs w:val="26"/>
        </w:rPr>
        <w:t>1,42</w:t>
      </w:r>
      <w:r w:rsidRPr="008952DA">
        <w:rPr>
          <w:rFonts w:ascii="Times New Roman" w:hAnsi="Times New Roman" w:cs="Times New Roman"/>
          <w:sz w:val="26"/>
          <w:szCs w:val="26"/>
        </w:rPr>
        <w:t>%.</w:t>
      </w:r>
    </w:p>
    <w:p w:rsidR="00D45DC2" w:rsidRPr="008952DA" w:rsidRDefault="00D60164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Целевой вариант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 ориентирует на благоприятный путь развития промышленного </w:t>
      </w:r>
      <w:r w:rsidRPr="008952DA">
        <w:rPr>
          <w:rFonts w:ascii="Times New Roman" w:hAnsi="Times New Roman" w:cs="Times New Roman"/>
          <w:sz w:val="26"/>
          <w:szCs w:val="26"/>
        </w:rPr>
        <w:t>сектора города Когалыма. На 2019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 год индекс промышленного производства по данному варианту развития планируется в размере </w:t>
      </w:r>
      <w:r w:rsidR="00F379B3" w:rsidRPr="008952DA">
        <w:rPr>
          <w:rFonts w:ascii="Times New Roman" w:hAnsi="Times New Roman" w:cs="Times New Roman"/>
          <w:sz w:val="26"/>
          <w:szCs w:val="26"/>
        </w:rPr>
        <w:t>102,61</w:t>
      </w:r>
      <w:r w:rsidRPr="008952DA">
        <w:rPr>
          <w:rFonts w:ascii="Times New Roman" w:hAnsi="Times New Roman" w:cs="Times New Roman"/>
          <w:sz w:val="26"/>
          <w:szCs w:val="26"/>
        </w:rPr>
        <w:t xml:space="preserve">%, на </w:t>
      </w:r>
      <w:r w:rsidR="00F379B3" w:rsidRPr="008952DA">
        <w:rPr>
          <w:rFonts w:ascii="Times New Roman" w:hAnsi="Times New Roman" w:cs="Times New Roman"/>
          <w:sz w:val="26"/>
          <w:szCs w:val="26"/>
        </w:rPr>
        <w:t>2024 год 102,72%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Общий объем отгруженных товаров собственного производства, выполненных работ и услуг собственными силами по </w:t>
      </w:r>
      <w:r w:rsidR="00F379B3" w:rsidRPr="008952DA">
        <w:rPr>
          <w:rFonts w:ascii="Times New Roman" w:hAnsi="Times New Roman" w:cs="Times New Roman"/>
          <w:sz w:val="26"/>
          <w:szCs w:val="26"/>
        </w:rPr>
        <w:t>полному кругу предприятий в 2018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году, согласно предварительной оценке, составит </w:t>
      </w:r>
      <w:r w:rsidR="00F379B3" w:rsidRPr="008952DA">
        <w:rPr>
          <w:rFonts w:ascii="Times New Roman" w:hAnsi="Times New Roman" w:cs="Times New Roman"/>
          <w:sz w:val="26"/>
          <w:szCs w:val="26"/>
        </w:rPr>
        <w:t>34 423,82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млн. рублей и увели</w:t>
      </w:r>
      <w:r w:rsidR="00F379B3" w:rsidRPr="008952DA">
        <w:rPr>
          <w:rFonts w:ascii="Times New Roman" w:hAnsi="Times New Roman" w:cs="Times New Roman"/>
          <w:sz w:val="26"/>
          <w:szCs w:val="26"/>
        </w:rPr>
        <w:t>чится в действующих ценах к 2017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F379B3" w:rsidRPr="008952DA">
        <w:rPr>
          <w:rFonts w:ascii="Times New Roman" w:hAnsi="Times New Roman" w:cs="Times New Roman"/>
          <w:sz w:val="26"/>
          <w:szCs w:val="26"/>
        </w:rPr>
        <w:t>3,1</w:t>
      </w:r>
      <w:r w:rsidRPr="008952DA">
        <w:rPr>
          <w:rFonts w:ascii="Times New Roman" w:hAnsi="Times New Roman" w:cs="Times New Roman"/>
          <w:sz w:val="26"/>
          <w:szCs w:val="26"/>
        </w:rPr>
        <w:t xml:space="preserve">%. При этом темп роста в сопоставимых ценах составит </w:t>
      </w:r>
      <w:r w:rsidR="00F379B3" w:rsidRPr="008952DA">
        <w:rPr>
          <w:rFonts w:ascii="Times New Roman" w:hAnsi="Times New Roman" w:cs="Times New Roman"/>
          <w:sz w:val="26"/>
          <w:szCs w:val="26"/>
        </w:rPr>
        <w:t>101,</w:t>
      </w:r>
      <w:r w:rsidR="00496115">
        <w:rPr>
          <w:rFonts w:ascii="Times New Roman" w:hAnsi="Times New Roman" w:cs="Times New Roman"/>
          <w:sz w:val="26"/>
          <w:szCs w:val="26"/>
        </w:rPr>
        <w:t>26</w:t>
      </w:r>
      <w:r w:rsidRPr="008952DA">
        <w:rPr>
          <w:rFonts w:ascii="Times New Roman" w:hAnsi="Times New Roman" w:cs="Times New Roman"/>
          <w:sz w:val="26"/>
          <w:szCs w:val="26"/>
        </w:rPr>
        <w:t>%.</w:t>
      </w:r>
    </w:p>
    <w:p w:rsidR="005751BF" w:rsidRPr="008952DA" w:rsidRDefault="00015D2E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структуре промышленного производства доминируют предприятия обрабатывающих производств. Так д</w:t>
      </w:r>
      <w:r w:rsidRPr="008952DA">
        <w:rPr>
          <w:rFonts w:ascii="Times New Roman" w:hAnsi="Times New Roman" w:cs="Times New Roman"/>
          <w:sz w:val="26"/>
          <w:szCs w:val="26"/>
        </w:rPr>
        <w:t xml:space="preserve">оля данного вида деятельности значительно возросла и составила в 2017 году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8952DA">
        <w:rPr>
          <w:rFonts w:ascii="Times New Roman" w:hAnsi="Times New Roman" w:cs="Times New Roman"/>
          <w:sz w:val="26"/>
          <w:szCs w:val="26"/>
        </w:rPr>
        <w:t>% от общего объема отгруженных товаров собственного производства, выполненных работ и услуг собственными силами.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Индекс производства по данному виду экономической деятельности составил </w:t>
      </w:r>
      <w:r w:rsidR="005751BF">
        <w:rPr>
          <w:rFonts w:ascii="Times New Roman" w:hAnsi="Times New Roman" w:cs="Times New Roman"/>
          <w:sz w:val="26"/>
          <w:szCs w:val="26"/>
        </w:rPr>
        <w:t>143,32</w:t>
      </w:r>
      <w:r w:rsidR="00F379B3" w:rsidRPr="008952DA">
        <w:rPr>
          <w:rFonts w:ascii="Times New Roman" w:hAnsi="Times New Roman" w:cs="Times New Roman"/>
          <w:sz w:val="26"/>
          <w:szCs w:val="26"/>
        </w:rPr>
        <w:t xml:space="preserve">%. </w:t>
      </w:r>
      <w:r w:rsidR="005751BF" w:rsidRPr="008952DA">
        <w:rPr>
          <w:rFonts w:ascii="Times New Roman" w:hAnsi="Times New Roman" w:cs="Times New Roman"/>
          <w:sz w:val="26"/>
          <w:szCs w:val="26"/>
        </w:rPr>
        <w:t>Выпуск товаров собственного производства, выполненных работ и услуг соб</w:t>
      </w:r>
      <w:r>
        <w:rPr>
          <w:rFonts w:ascii="Times New Roman" w:hAnsi="Times New Roman" w:cs="Times New Roman"/>
          <w:sz w:val="26"/>
          <w:szCs w:val="26"/>
        </w:rPr>
        <w:t xml:space="preserve">ственными силами предприятиями обрабатывающего производства </w:t>
      </w:r>
      <w:r w:rsidR="005751BF" w:rsidRPr="008952DA">
        <w:rPr>
          <w:rFonts w:ascii="Times New Roman" w:hAnsi="Times New Roman" w:cs="Times New Roman"/>
          <w:sz w:val="26"/>
          <w:szCs w:val="26"/>
        </w:rPr>
        <w:t xml:space="preserve">в 2017 году, составил 13 350,20 млн. рублей. 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Наибольший удельный вес (в 2016 году – 69,8%, в 2017 году – 70,0%) в общем объеме обрабатывающего производства, приходится на предприятия, вид деятельности которых «Производство кокса и нефтепродуктов». В городе Когалыме действует нефтеперерабатывающий завод, который осуществляет выпуск бензина, топлива реактивного керосинового, а также дизельного топлива. 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На мини-нефтеперерабатывающем заводе (далее - мини-НПЗ) Дружного месторождения, мощностью по переработке нефти 350 000 тонн в год, провели серию высокотехнологичных реконструкций и перевооружений, построили установку изомеризации. Когалымский мини-НПЗ выпускает дизельные топлива («ЕВРО» летнее, зимнее, арктическое) и автомобильные бензины (АИ-92-К5, АИ-95-К5), соответствующие требованиям класса 5 Технического регламента Таможенного союза ТР ТС 013/2011 и топливо для реактивных двигателей марки ТС-1. Топливом мини-НПЗ </w:t>
      </w:r>
      <w:r w:rsidR="00EC75E1">
        <w:rPr>
          <w:rFonts w:ascii="Times New Roman" w:hAnsi="Times New Roman" w:cs="Times New Roman"/>
          <w:sz w:val="26"/>
          <w:szCs w:val="26"/>
        </w:rPr>
        <w:t>территориально-производственного предприятия</w:t>
      </w:r>
      <w:r w:rsidRPr="008952D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Когалымнефтегаз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 xml:space="preserve">» заправляются автомобили региона, авиационные суда когалымского и 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сургутского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 xml:space="preserve"> аэропортов.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Объем отгруженных товаров, выполненных работ и услуг данного вида деятельности в 2017 году составил 9 345,69 млн. рублей, что на 38% превышает уровень 2016 года. Данный рост объемов производства в стоимостном выражении можно объяснить изменением ценовой конъюнктуры.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2018 году индекс производства по данному виду промышленного производства составит 101,81%. В дальнейшем индекс производства по базовому варианту ожидается от 100,5% в 2019 году до 103,6% в 2024 году; по целевому варианту – от 101,3% до 104% соответственно.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Производство и реализацию 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химреагентов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 xml:space="preserve"> в городе Когалыме осуществляет общество с ограниченной ответственностью «Когалымский завод 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химреагентов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 xml:space="preserve">» (далее – предприятие, ООО «КЗХ»). В 2017 году объем отгруженных товаров собственного производства, выполненных работ и услуг собственными силами предприятий по виду деятельности «Химическое производство» увеличился по отношению к 2016 году и составил 1 210,71 млн. рублей или 120% в сопоставимых ценах. ООО «КЗХ» предоставляет услуги по разработке, внедрению и производству химических реагентов для добычи, подготовки, транспортировки, переработки нефти, защиты нефтепромыслового оборудования и трубопроводов от коррозии и отложений различной природы, повышения 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нефтеотдачи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 xml:space="preserve"> пластов. Увеличение объемов производства в 2017 году можно объяснить увеличением количества заключенных договоров на вышеперечисленные услуги. В 2018 году объем производства увеличится и составит 1 266,29 млн. рублей, индекс производства – 104,59%. По прогнозу ООО «КЗХ» в 2019-2024 годах планируется наращивать объемы производства продукции. К 2024 году объем отгруженных товаров химического производства по базовому варианту составит 2 078,78 млн. рублей, индекс производства составит 109,8%.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 по виду деятельности «Производство электрооборудования, электронного и оптического оборудования» в 2017 году, составил 1 599,84 млн. рублей, индекс производства – 150,65%. Данное увеличение связано с увеличением объема предоставляемых услуг по монтажу, ремонту, техническому обслуживанию и перемотке электродвигателей, генераторов и трансформаторов. Одним из крупных предприятий данного вида деятельности является общество с ограниченной ответственностью «ЛУКОЙЛ ЭПУ Сервис». На базе данного предприятия была проведена реконструкция завода по изготовлению стеклопластиковых труб с изменением целевого назначения объекта на «Завод по производству вентильных двигателей». Запуск завода произведен в сентябре 2016 года, производственные мощности завода рассчитаны для выпуска 5 000 вентильных двигателей в год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Предприятия вида деятельности «Производство машин и оборудования» предоставляют услуги по монтажу, ремонту и техническому обслуживанию машин и оборудования. В 2018 году объем предоставленных услуг ожидается в размере 811,56 млн. рублей, по сравнению с предыдущим годом темп роста промышленного производства составит 100,2%. Одним из предприятий данного вида деятельности является общество с ограниченной ответственностью «Когалым НПО-Сервис» (далее – предприятие ООО «Когалым НПО-Сервис»).</w:t>
      </w:r>
    </w:p>
    <w:p w:rsidR="005751BF" w:rsidRPr="008952DA" w:rsidRDefault="00860DCD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виду </w:t>
      </w:r>
      <w:r w:rsidR="005751BF" w:rsidRPr="008952DA">
        <w:rPr>
          <w:rFonts w:ascii="Times New Roman" w:hAnsi="Times New Roman" w:cs="Times New Roman"/>
          <w:sz w:val="26"/>
          <w:szCs w:val="26"/>
        </w:rPr>
        <w:t>деятельност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5751BF" w:rsidRPr="008952DA">
        <w:rPr>
          <w:rFonts w:ascii="Times New Roman" w:hAnsi="Times New Roman" w:cs="Times New Roman"/>
          <w:sz w:val="26"/>
          <w:szCs w:val="26"/>
        </w:rPr>
        <w:t xml:space="preserve"> «Металлургическое производство и производство готовых металлических изделий», </w:t>
      </w:r>
      <w:r>
        <w:rPr>
          <w:rFonts w:ascii="Times New Roman" w:hAnsi="Times New Roman" w:cs="Times New Roman"/>
          <w:sz w:val="26"/>
          <w:szCs w:val="26"/>
        </w:rPr>
        <w:t>в городе Когалыме одно предприятие</w:t>
      </w:r>
      <w:r w:rsidR="005751BF" w:rsidRPr="008952DA">
        <w:rPr>
          <w:rFonts w:ascii="Times New Roman" w:hAnsi="Times New Roman" w:cs="Times New Roman"/>
          <w:sz w:val="26"/>
          <w:szCs w:val="26"/>
        </w:rPr>
        <w:t xml:space="preserve"> производит изделия для ремонта нефтепромыслового оборудования. По данным предприятия, в 2018 году будет отгружено товаров данного вида деятельности на сумму 145</w:t>
      </w:r>
      <w:r w:rsidR="00D13005">
        <w:rPr>
          <w:rFonts w:ascii="Times New Roman" w:hAnsi="Times New Roman" w:cs="Times New Roman"/>
          <w:sz w:val="26"/>
          <w:szCs w:val="26"/>
        </w:rPr>
        <w:t>,</w:t>
      </w:r>
      <w:r w:rsidR="005751BF" w:rsidRPr="008952DA">
        <w:rPr>
          <w:rFonts w:ascii="Times New Roman" w:hAnsi="Times New Roman" w:cs="Times New Roman"/>
          <w:sz w:val="26"/>
          <w:szCs w:val="26"/>
        </w:rPr>
        <w:t>67 млн. рублей. Индекс промышленного производства составит 101%. В прогнозном периоде в условиях базового варианта ожидается увеличение индекса производства от 101,04% до 102,55%.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8952D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По виду деятельности «Производство пищевых продуктов, включая напитки, и табака» на территории города Когалыма производится хлеб и хлебобулочные изделия. Объем отгруженных товаров в 2018 году ожидается в размере 132,16 млн. рублей, индекс промышленного производства составит 113,38%. В прогнозируемом периоде предусматривается рост объемов производства пищевых продуктов по базовому варианту к 2024 году до 102,31%, что обусловлено стабильным уровнем спроса на потребительском рынке.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8952D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структуре производства пищевых продуктов наибольшую долю занимают хлебобулочные и кондитерские изделия. Производство хлебобулочных изделий осуществляют следующие предприятия: общество с ограниченной ответственностью «Хлебопродукт», общество с ограниченной ответственностью «Сияние Севера» и общество с ограниченной ответственностью «Фокус-Ритейл».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По виду деятельности «Деятельность полиграфическая и копирование носителей информации» в городе Когалыме осуществляется выпуск бланочной и газетной продукции. Данные услуги оказывает </w:t>
      </w:r>
      <w:r w:rsidRPr="008952D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общество с ограниченной ответственностью </w:t>
      </w:r>
      <w:r w:rsidRPr="008952DA">
        <w:rPr>
          <w:rFonts w:ascii="Times New Roman" w:hAnsi="Times New Roman" w:cs="Times New Roman"/>
          <w:sz w:val="26"/>
          <w:szCs w:val="26"/>
        </w:rPr>
        <w:t xml:space="preserve">«Когалымская городская типография». Всего в 2017 году было выпущено 490 тыс. экземпляров газеты. В 2018 году объем повысится. 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Объем отгруженной продукции данного вида деятельности в стоимостном выражении в 2018 году ожидается в размере 63,7 млн. рублей, что в сопоставимых ценах к предыдущему году составит 95,3%. В дальнейшем индекс производства в базовом варианте составит 95,53% в 2019 году, 96,09% в 2024 году.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8952DA">
        <w:rPr>
          <w:rFonts w:ascii="Times New Roman" w:hAnsi="Times New Roman" w:cs="Times New Roman"/>
          <w:sz w:val="26"/>
          <w:szCs w:val="26"/>
        </w:rPr>
        <w:t>По виду деятельности «Производство резиновых и пластмассовых изделий» о</w:t>
      </w:r>
      <w:r w:rsidRPr="008952D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бъем отгруженных товаров в 2017 году составил 5,72 млн. рублей, индекс промышленного производства – 103,8%. В данной сфере осуществляет деятельность предприятие ООО «Когалым НПО-Сервис», данный рост объясняется увеличением производственной программы предприятия. В 2018 году по данным предприятия, объем производимой продукции повысится и составит 5,73 млн. рублей, индекс производства – 95,71%. В прогнозируемом периоде предусматривается объем производства </w:t>
      </w:r>
      <w:r w:rsidRPr="008952DA">
        <w:rPr>
          <w:rFonts w:ascii="Times New Roman" w:hAnsi="Times New Roman" w:cs="Times New Roman"/>
          <w:sz w:val="26"/>
          <w:szCs w:val="26"/>
        </w:rPr>
        <w:t>резиновых изделий</w:t>
      </w:r>
      <w:r w:rsidRPr="008952D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 базовом варианте к 2020 году 96%.</w:t>
      </w:r>
    </w:p>
    <w:p w:rsidR="005751BF" w:rsidRPr="008952DA" w:rsidRDefault="005751BF" w:rsidP="0057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По виду деятельности «Текстильное и швейное производство» в городе преимущественно изготавливается спецодежда (общество с ограниченной ответственностью «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Рябинушка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>»). В 2017 году объем отгруженных товаров собственного производства по данным предприятия увеличился по отношению к 2016 году и составил 0,23 млн. рублей, что в действующих ценах к 2016 году составило 115%. По оценке в 2018 году объем производства составит 0,26 млн. рублей, индекс производства – 108,5%. В базовом варианте индекс производства в 2019-2024 годах составит 106,5% – 108,45%.</w:t>
      </w:r>
    </w:p>
    <w:p w:rsidR="005751BF" w:rsidRDefault="00C50A8B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2019-2024 годах сохранится тенденция роста объёмов производства продукции обрабатывающих производств.</w:t>
      </w:r>
    </w:p>
    <w:p w:rsidR="00D45DC2" w:rsidRPr="008952DA" w:rsidRDefault="00F379B3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По оценке в 2018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 году объем отгруженных товаров, выполненных работ и услуг, связанных с добычей нефти и нефтяного природного газа, составит </w:t>
      </w:r>
      <w:r w:rsidRPr="008952DA">
        <w:rPr>
          <w:rFonts w:ascii="Times New Roman" w:hAnsi="Times New Roman" w:cs="Times New Roman"/>
          <w:sz w:val="26"/>
          <w:szCs w:val="26"/>
        </w:rPr>
        <w:t>10 852,0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F073E3">
        <w:rPr>
          <w:rFonts w:ascii="Times New Roman" w:hAnsi="Times New Roman" w:cs="Times New Roman"/>
          <w:sz w:val="26"/>
          <w:szCs w:val="26"/>
        </w:rPr>
        <w:t>99,6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% к предыдущему году в сопоставимых ценах. В прогнозном периоде темп роста в сопоставимых ценах отгруженных товаров, выполненных работ и услуг по базовому варианту, составит: </w:t>
      </w:r>
      <w:r w:rsidR="00F073E3">
        <w:rPr>
          <w:rFonts w:ascii="Times New Roman" w:hAnsi="Times New Roman" w:cs="Times New Roman"/>
          <w:sz w:val="26"/>
          <w:szCs w:val="26"/>
        </w:rPr>
        <w:t>99,9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% в 2019 году и </w:t>
      </w:r>
      <w:r w:rsidR="00683C79">
        <w:rPr>
          <w:rFonts w:ascii="Times New Roman" w:hAnsi="Times New Roman" w:cs="Times New Roman"/>
          <w:sz w:val="26"/>
          <w:szCs w:val="26"/>
        </w:rPr>
        <w:t>100,49</w:t>
      </w:r>
      <w:r w:rsidRPr="008952DA">
        <w:rPr>
          <w:rFonts w:ascii="Times New Roman" w:hAnsi="Times New Roman" w:cs="Times New Roman"/>
          <w:sz w:val="26"/>
          <w:szCs w:val="26"/>
        </w:rPr>
        <w:t>% в 2024</w:t>
      </w:r>
      <w:r w:rsidR="00D45DC2" w:rsidRPr="008952DA">
        <w:rPr>
          <w:rFonts w:ascii="Times New Roman" w:hAnsi="Times New Roman" w:cs="Times New Roman"/>
          <w:sz w:val="26"/>
          <w:szCs w:val="26"/>
        </w:rPr>
        <w:t xml:space="preserve"> году. 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Также в городе Когалыме по виду деятельности «Предоставление прочих услуг, связанных с добычей нефти и газа» оказывают услуги такие предприятия как: закрытое акционерное общество «ЛУКОЙЛ – АИК», общество с ограниченной ответственность «АРГОС», общество с ограниченной ответственностью «Центр научно-исследовательских и производственных работ» и другие предприятия.</w:t>
      </w:r>
    </w:p>
    <w:p w:rsidR="00D45DC2" w:rsidRPr="008952DA" w:rsidRDefault="00D45DC2" w:rsidP="00D45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DC2" w:rsidRPr="008952DA" w:rsidRDefault="00D45DC2" w:rsidP="00D45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52DA">
        <w:rPr>
          <w:rFonts w:ascii="Times New Roman" w:hAnsi="Times New Roman" w:cs="Times New Roman"/>
          <w:b/>
          <w:sz w:val="26"/>
          <w:szCs w:val="26"/>
        </w:rPr>
        <w:t>Объем отгруженных товаров собственного производства, выполненных работ и у</w:t>
      </w:r>
      <w:r w:rsidR="00682511" w:rsidRPr="008952DA">
        <w:rPr>
          <w:rFonts w:ascii="Times New Roman" w:hAnsi="Times New Roman" w:cs="Times New Roman"/>
          <w:b/>
          <w:sz w:val="26"/>
          <w:szCs w:val="26"/>
        </w:rPr>
        <w:t>слуг собственными силами за 2017</w:t>
      </w:r>
      <w:r w:rsidRPr="008952DA">
        <w:rPr>
          <w:rFonts w:ascii="Times New Roman" w:hAnsi="Times New Roman" w:cs="Times New Roman"/>
          <w:b/>
          <w:sz w:val="26"/>
          <w:szCs w:val="26"/>
        </w:rPr>
        <w:t xml:space="preserve"> год, млн. рублей, %</w:t>
      </w:r>
    </w:p>
    <w:p w:rsidR="00D45DC2" w:rsidRPr="008952DA" w:rsidRDefault="00D45DC2" w:rsidP="00D45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807075" cy="3143250"/>
            <wp:effectExtent l="0" t="0" r="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На долю вида деятельности «Производство и распределение электроэнергии, газа и воды» приходится </w:t>
      </w:r>
      <w:r w:rsidR="00682511" w:rsidRPr="008952DA">
        <w:rPr>
          <w:rFonts w:ascii="Times New Roman" w:hAnsi="Times New Roman" w:cs="Times New Roman"/>
          <w:sz w:val="26"/>
          <w:szCs w:val="26"/>
        </w:rPr>
        <w:t>27,7</w:t>
      </w:r>
      <w:r w:rsidRPr="008952DA">
        <w:rPr>
          <w:rFonts w:ascii="Times New Roman" w:hAnsi="Times New Roman" w:cs="Times New Roman"/>
          <w:sz w:val="26"/>
          <w:szCs w:val="26"/>
        </w:rPr>
        <w:t>% от общего объема отгруженных товаров собственного производства, выполненных работ и услуг собственными силами.</w:t>
      </w:r>
    </w:p>
    <w:p w:rsidR="00D45DC2" w:rsidRPr="008952DA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своими силами в рамках вида деятельности «Производство и распределение эле</w:t>
      </w:r>
      <w:r w:rsidR="00682511" w:rsidRPr="008952DA">
        <w:rPr>
          <w:rFonts w:ascii="Times New Roman" w:hAnsi="Times New Roman" w:cs="Times New Roman"/>
          <w:sz w:val="26"/>
          <w:szCs w:val="26"/>
        </w:rPr>
        <w:t>ктроэнергии, газа и воды» в 2017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уменьшился на </w:t>
      </w:r>
      <w:r w:rsidR="00682511" w:rsidRPr="008952DA">
        <w:rPr>
          <w:rFonts w:ascii="Times New Roman" w:hAnsi="Times New Roman" w:cs="Times New Roman"/>
          <w:sz w:val="26"/>
          <w:szCs w:val="26"/>
        </w:rPr>
        <w:t>529,6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млн. рублей. Индекс производства по данному виду экономической деятельности составил </w:t>
      </w:r>
      <w:r w:rsidR="00682511" w:rsidRPr="008952DA">
        <w:rPr>
          <w:rFonts w:ascii="Times New Roman" w:hAnsi="Times New Roman" w:cs="Times New Roman"/>
          <w:sz w:val="26"/>
          <w:szCs w:val="26"/>
        </w:rPr>
        <w:t>94,5%. В 2018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ожидается рост объема отгруженных товаров до </w:t>
      </w:r>
      <w:r w:rsidR="00683C79">
        <w:rPr>
          <w:rFonts w:ascii="Times New Roman" w:hAnsi="Times New Roman" w:cs="Times New Roman"/>
          <w:sz w:val="26"/>
          <w:szCs w:val="26"/>
        </w:rPr>
        <w:t>9 841,2</w:t>
      </w:r>
      <w:r w:rsidR="00682511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 xml:space="preserve">млн. рублей, при этом индекс производства составит </w:t>
      </w:r>
      <w:r w:rsidR="00683C79">
        <w:rPr>
          <w:rFonts w:ascii="Times New Roman" w:hAnsi="Times New Roman" w:cs="Times New Roman"/>
          <w:sz w:val="26"/>
          <w:szCs w:val="26"/>
        </w:rPr>
        <w:t>90,7</w:t>
      </w:r>
      <w:r w:rsidRPr="008952DA">
        <w:rPr>
          <w:rFonts w:ascii="Times New Roman" w:hAnsi="Times New Roman" w:cs="Times New Roman"/>
          <w:sz w:val="26"/>
          <w:szCs w:val="26"/>
        </w:rPr>
        <w:t>%. Крупными предприятиями, осуществляющими деятельность в данной сфере в городе Когалыме, являются акционерное общество «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Тюменьэнерго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>» и общество с ограниченной ответственностью «ЛУКОЙЛ Энергосети». В прогнозном периоде индекс производства по</w:t>
      </w:r>
      <w:r w:rsidR="002A3580" w:rsidRPr="008952DA">
        <w:rPr>
          <w:rFonts w:ascii="Times New Roman" w:hAnsi="Times New Roman" w:cs="Times New Roman"/>
          <w:sz w:val="26"/>
          <w:szCs w:val="26"/>
        </w:rPr>
        <w:t xml:space="preserve"> данному виду деятельности к 2024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683C79">
        <w:rPr>
          <w:rFonts w:ascii="Times New Roman" w:hAnsi="Times New Roman" w:cs="Times New Roman"/>
          <w:sz w:val="26"/>
          <w:szCs w:val="26"/>
        </w:rPr>
        <w:t>увеличится</w:t>
      </w:r>
      <w:r w:rsidR="00F445B2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 xml:space="preserve">по </w:t>
      </w:r>
      <w:r w:rsidR="002A3580" w:rsidRPr="008952DA">
        <w:rPr>
          <w:rFonts w:ascii="Times New Roman" w:hAnsi="Times New Roman" w:cs="Times New Roman"/>
          <w:sz w:val="26"/>
          <w:szCs w:val="26"/>
        </w:rPr>
        <w:t>базовому</w:t>
      </w:r>
      <w:r w:rsidRPr="008952DA">
        <w:rPr>
          <w:rFonts w:ascii="Times New Roman" w:hAnsi="Times New Roman" w:cs="Times New Roman"/>
          <w:sz w:val="26"/>
          <w:szCs w:val="26"/>
        </w:rPr>
        <w:t xml:space="preserve"> варианту </w:t>
      </w:r>
      <w:r w:rsidR="00683C79">
        <w:rPr>
          <w:rFonts w:ascii="Times New Roman" w:hAnsi="Times New Roman" w:cs="Times New Roman"/>
          <w:sz w:val="26"/>
          <w:szCs w:val="26"/>
        </w:rPr>
        <w:t>и составит 103,4</w:t>
      </w:r>
      <w:r w:rsidRPr="008952DA">
        <w:rPr>
          <w:rFonts w:ascii="Times New Roman" w:hAnsi="Times New Roman" w:cs="Times New Roman"/>
          <w:sz w:val="26"/>
          <w:szCs w:val="26"/>
        </w:rPr>
        <w:t>%. В соответствии со спецификой данной отрасли рост показателя объемов отгрузки планируется в основном за счет увеличения количества потребителей энергоресурсов</w:t>
      </w:r>
      <w:r w:rsidRPr="008952DA">
        <w:rPr>
          <w:rFonts w:ascii="Times New Roman" w:hAnsi="Times New Roman" w:cs="Times New Roman"/>
          <w:bCs/>
          <w:sz w:val="26"/>
          <w:szCs w:val="26"/>
        </w:rPr>
        <w:t>.</w:t>
      </w:r>
    </w:p>
    <w:p w:rsidR="006A67D6" w:rsidRPr="008952DA" w:rsidRDefault="006A67D6" w:rsidP="009D5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902FD" w:rsidRPr="00CF2EF2" w:rsidRDefault="000902FD" w:rsidP="000902F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498075893"/>
      <w:r w:rsidRPr="00CF2EF2">
        <w:rPr>
          <w:rFonts w:ascii="Times New Roman" w:hAnsi="Times New Roman" w:cs="Times New Roman"/>
          <w:b/>
          <w:bCs/>
          <w:color w:val="auto"/>
          <w:sz w:val="26"/>
          <w:szCs w:val="26"/>
        </w:rPr>
        <w:t>2. ИНВЕСТИЦИИ</w:t>
      </w:r>
      <w:bookmarkEnd w:id="3"/>
    </w:p>
    <w:p w:rsidR="000902FD" w:rsidRPr="00CF2EF2" w:rsidRDefault="000902FD" w:rsidP="00090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:rsidR="00B139E4" w:rsidRPr="00CF2EF2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EF2">
        <w:rPr>
          <w:rFonts w:ascii="Times New Roman" w:hAnsi="Times New Roman" w:cs="Times New Roman"/>
          <w:sz w:val="26"/>
          <w:szCs w:val="26"/>
        </w:rPr>
        <w:t xml:space="preserve">Рост инвестиций является одним из основных факторов роста экономики, развития предприятий, обновления технической и технологической базы, создания новых рабочих мест. Привлечение инвестиций в экономику города Когалыма является одной из стратегических задач Администрации города Когалыма. В среднесрочном периоде Администрация города Когалыма продолжит проведение инвестиционной политики, направленной на создание максимально комфортных условий для инвесторов, на совершенствование организационных условий ведения предпринимательской деятельности. </w:t>
      </w:r>
    </w:p>
    <w:p w:rsidR="00B139E4" w:rsidRPr="00FC4EAD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EF2">
        <w:rPr>
          <w:rFonts w:ascii="Times New Roman" w:hAnsi="Times New Roman" w:cs="Times New Roman"/>
          <w:sz w:val="26"/>
          <w:szCs w:val="26"/>
        </w:rPr>
        <w:t>В 2018 году 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 по оценке составит 16</w:t>
      </w:r>
      <w:r w:rsidR="00CF2EF2" w:rsidRPr="00CF2EF2">
        <w:rPr>
          <w:rFonts w:ascii="Times New Roman" w:hAnsi="Times New Roman" w:cs="Times New Roman"/>
          <w:sz w:val="26"/>
          <w:szCs w:val="26"/>
        </w:rPr>
        <w:t> 621,2</w:t>
      </w:r>
      <w:r w:rsidRPr="00CF2EF2">
        <w:rPr>
          <w:rFonts w:ascii="Times New Roman" w:hAnsi="Times New Roman" w:cs="Times New Roman"/>
          <w:sz w:val="26"/>
          <w:szCs w:val="26"/>
        </w:rPr>
        <w:t xml:space="preserve"> млн. рублей </w:t>
      </w:r>
      <w:r w:rsidRPr="00FC4EAD">
        <w:rPr>
          <w:rFonts w:ascii="Times New Roman" w:hAnsi="Times New Roman" w:cs="Times New Roman"/>
          <w:sz w:val="26"/>
          <w:szCs w:val="26"/>
        </w:rPr>
        <w:t xml:space="preserve">или </w:t>
      </w:r>
      <w:r w:rsidR="00CF2EF2" w:rsidRPr="00FC4EAD">
        <w:rPr>
          <w:rFonts w:ascii="Times New Roman" w:hAnsi="Times New Roman" w:cs="Times New Roman"/>
          <w:sz w:val="26"/>
          <w:szCs w:val="26"/>
        </w:rPr>
        <w:t>98,</w:t>
      </w:r>
      <w:r w:rsidR="00FC4EAD" w:rsidRPr="00FC4EAD">
        <w:rPr>
          <w:rFonts w:ascii="Times New Roman" w:hAnsi="Times New Roman" w:cs="Times New Roman"/>
          <w:sz w:val="26"/>
          <w:szCs w:val="26"/>
        </w:rPr>
        <w:t>3</w:t>
      </w:r>
      <w:r w:rsidRPr="00FC4EAD">
        <w:rPr>
          <w:rFonts w:ascii="Times New Roman" w:hAnsi="Times New Roman" w:cs="Times New Roman"/>
          <w:sz w:val="26"/>
          <w:szCs w:val="26"/>
        </w:rPr>
        <w:t>% в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FC4EAD">
        <w:rPr>
          <w:rFonts w:ascii="Times New Roman" w:hAnsi="Times New Roman" w:cs="Times New Roman"/>
          <w:sz w:val="26"/>
          <w:szCs w:val="26"/>
        </w:rPr>
        <w:t>сопоставимых ценах к уровню 2017 года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. </w:t>
      </w:r>
      <w:r w:rsidRPr="00FC4EAD">
        <w:rPr>
          <w:rFonts w:ascii="Times New Roman" w:hAnsi="Times New Roman" w:cs="Times New Roman"/>
          <w:sz w:val="26"/>
          <w:szCs w:val="26"/>
        </w:rPr>
        <w:t xml:space="preserve">При этом в структуре объема инвестиций наибольший удельный вес приходиться на следующие виды деятельности: </w:t>
      </w:r>
    </w:p>
    <w:p w:rsidR="00B139E4" w:rsidRPr="00FC4EAD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EAD">
        <w:rPr>
          <w:rFonts w:ascii="Times New Roman" w:hAnsi="Times New Roman" w:cs="Times New Roman"/>
          <w:sz w:val="26"/>
          <w:szCs w:val="26"/>
        </w:rPr>
        <w:t xml:space="preserve">- </w:t>
      </w:r>
      <w:r w:rsidR="00FC4EAD" w:rsidRPr="00FC4EAD">
        <w:rPr>
          <w:rFonts w:ascii="Times New Roman" w:hAnsi="Times New Roman" w:cs="Times New Roman"/>
          <w:sz w:val="26"/>
          <w:szCs w:val="26"/>
        </w:rPr>
        <w:t>59,</w:t>
      </w:r>
      <w:r w:rsidR="00177F86">
        <w:rPr>
          <w:rFonts w:ascii="Times New Roman" w:hAnsi="Times New Roman" w:cs="Times New Roman"/>
          <w:sz w:val="26"/>
          <w:szCs w:val="26"/>
        </w:rPr>
        <w:t>1</w:t>
      </w:r>
      <w:r w:rsidRPr="00FC4EAD">
        <w:rPr>
          <w:rFonts w:ascii="Times New Roman" w:hAnsi="Times New Roman" w:cs="Times New Roman"/>
          <w:sz w:val="26"/>
          <w:szCs w:val="26"/>
        </w:rPr>
        <w:t>% - добыча полезных ископаемых и предоставление услуг в этих областях;</w:t>
      </w:r>
    </w:p>
    <w:p w:rsidR="00B139E4" w:rsidRPr="00FC4EAD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EAD">
        <w:rPr>
          <w:rFonts w:ascii="Times New Roman" w:hAnsi="Times New Roman" w:cs="Times New Roman"/>
          <w:sz w:val="26"/>
          <w:szCs w:val="26"/>
        </w:rPr>
        <w:t xml:space="preserve">- </w:t>
      </w:r>
      <w:r w:rsidR="00FC4EAD" w:rsidRPr="00FC4EAD">
        <w:rPr>
          <w:rFonts w:ascii="Times New Roman" w:hAnsi="Times New Roman" w:cs="Times New Roman"/>
          <w:sz w:val="26"/>
          <w:szCs w:val="26"/>
        </w:rPr>
        <w:t>10,</w:t>
      </w:r>
      <w:r w:rsidR="00177F86">
        <w:rPr>
          <w:rFonts w:ascii="Times New Roman" w:hAnsi="Times New Roman" w:cs="Times New Roman"/>
          <w:sz w:val="26"/>
          <w:szCs w:val="26"/>
        </w:rPr>
        <w:t>1</w:t>
      </w:r>
      <w:r w:rsidRPr="00FC4EAD">
        <w:rPr>
          <w:rFonts w:ascii="Times New Roman" w:hAnsi="Times New Roman" w:cs="Times New Roman"/>
          <w:sz w:val="26"/>
          <w:szCs w:val="26"/>
        </w:rPr>
        <w:t>% – обрабатывающие производства;</w:t>
      </w:r>
    </w:p>
    <w:p w:rsidR="00B139E4" w:rsidRPr="00FC4EAD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EAD">
        <w:rPr>
          <w:rFonts w:ascii="Times New Roman" w:hAnsi="Times New Roman" w:cs="Times New Roman"/>
          <w:sz w:val="26"/>
          <w:szCs w:val="26"/>
        </w:rPr>
        <w:t xml:space="preserve">- </w:t>
      </w:r>
      <w:r w:rsidR="00FC4EAD" w:rsidRPr="00FC4EAD">
        <w:rPr>
          <w:rFonts w:ascii="Times New Roman" w:hAnsi="Times New Roman" w:cs="Times New Roman"/>
          <w:sz w:val="26"/>
          <w:szCs w:val="26"/>
        </w:rPr>
        <w:t>4,</w:t>
      </w:r>
      <w:r w:rsidR="00177F86">
        <w:rPr>
          <w:rFonts w:ascii="Times New Roman" w:hAnsi="Times New Roman" w:cs="Times New Roman"/>
          <w:sz w:val="26"/>
          <w:szCs w:val="26"/>
        </w:rPr>
        <w:t>5</w:t>
      </w:r>
      <w:r w:rsidRPr="00FC4EAD">
        <w:rPr>
          <w:rFonts w:ascii="Times New Roman" w:hAnsi="Times New Roman" w:cs="Times New Roman"/>
          <w:sz w:val="26"/>
          <w:szCs w:val="26"/>
        </w:rPr>
        <w:t>% – строительство.</w:t>
      </w:r>
    </w:p>
    <w:p w:rsidR="00B139E4" w:rsidRPr="00FC4EAD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EAD">
        <w:rPr>
          <w:rFonts w:ascii="Times New Roman" w:hAnsi="Times New Roman" w:cs="Times New Roman"/>
          <w:sz w:val="26"/>
          <w:szCs w:val="26"/>
        </w:rPr>
        <w:t xml:space="preserve">В 2017 году наблюдается </w:t>
      </w:r>
      <w:r w:rsidR="00FC4EAD" w:rsidRPr="00FC4EAD">
        <w:rPr>
          <w:rFonts w:ascii="Times New Roman" w:hAnsi="Times New Roman" w:cs="Times New Roman"/>
          <w:sz w:val="26"/>
          <w:szCs w:val="26"/>
        </w:rPr>
        <w:t xml:space="preserve">незначительное снижение </w:t>
      </w:r>
      <w:r w:rsidRPr="00FC4EAD">
        <w:rPr>
          <w:rFonts w:ascii="Times New Roman" w:hAnsi="Times New Roman" w:cs="Times New Roman"/>
          <w:sz w:val="26"/>
          <w:szCs w:val="26"/>
        </w:rPr>
        <w:t xml:space="preserve">объема инвестиций в сфере добычи полезных ископаемых и предоставлении услуг в этих областях относительно 2016 года (индекс физического объема составил </w:t>
      </w:r>
      <w:r w:rsidR="00FC4EAD" w:rsidRPr="00FC4EAD">
        <w:rPr>
          <w:rFonts w:ascii="Times New Roman" w:hAnsi="Times New Roman" w:cs="Times New Roman"/>
          <w:sz w:val="26"/>
          <w:szCs w:val="26"/>
        </w:rPr>
        <w:t>96,04</w:t>
      </w:r>
      <w:r w:rsidRPr="00FC4EAD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B139E4" w:rsidRPr="00FC4EAD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EAD">
        <w:rPr>
          <w:rFonts w:ascii="Times New Roman" w:hAnsi="Times New Roman" w:cs="Times New Roman"/>
          <w:sz w:val="26"/>
          <w:szCs w:val="26"/>
        </w:rPr>
        <w:t>В 2018 году по данному виду деятельности ожидается увеличение</w:t>
      </w:r>
      <w:r w:rsidR="00177F86">
        <w:rPr>
          <w:rFonts w:ascii="Times New Roman" w:hAnsi="Times New Roman" w:cs="Times New Roman"/>
          <w:sz w:val="26"/>
          <w:szCs w:val="26"/>
        </w:rPr>
        <w:t>,</w:t>
      </w:r>
      <w:r w:rsidRPr="00FC4EAD">
        <w:rPr>
          <w:rFonts w:ascii="Times New Roman" w:hAnsi="Times New Roman" w:cs="Times New Roman"/>
          <w:sz w:val="26"/>
          <w:szCs w:val="26"/>
        </w:rPr>
        <w:t xml:space="preserve"> </w:t>
      </w:r>
      <w:r w:rsidR="00177F86" w:rsidRPr="00FC4EAD">
        <w:rPr>
          <w:rFonts w:ascii="Times New Roman" w:hAnsi="Times New Roman" w:cs="Times New Roman"/>
          <w:sz w:val="26"/>
          <w:szCs w:val="26"/>
        </w:rPr>
        <w:t xml:space="preserve">объем инвестиций </w:t>
      </w:r>
      <w:r w:rsidR="00177F86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FC4EAD" w:rsidRPr="00FC4EAD">
        <w:rPr>
          <w:rFonts w:ascii="Times New Roman" w:hAnsi="Times New Roman" w:cs="Times New Roman"/>
          <w:sz w:val="26"/>
          <w:szCs w:val="26"/>
        </w:rPr>
        <w:t>97</w:t>
      </w:r>
      <w:r w:rsidRPr="00FC4EAD">
        <w:rPr>
          <w:rFonts w:ascii="Times New Roman" w:hAnsi="Times New Roman" w:cs="Times New Roman"/>
          <w:sz w:val="26"/>
          <w:szCs w:val="26"/>
        </w:rPr>
        <w:t>% к уровню 2017 года в сопоставимых ценах (</w:t>
      </w:r>
      <w:r w:rsidR="00FC4EAD" w:rsidRPr="00FC4EAD">
        <w:rPr>
          <w:rFonts w:ascii="Times New Roman" w:hAnsi="Times New Roman" w:cs="Times New Roman"/>
          <w:sz w:val="26"/>
          <w:szCs w:val="26"/>
        </w:rPr>
        <w:t>9 814,82</w:t>
      </w:r>
      <w:r w:rsidRPr="00FC4EAD">
        <w:rPr>
          <w:rFonts w:ascii="Times New Roman" w:hAnsi="Times New Roman" w:cs="Times New Roman"/>
          <w:sz w:val="26"/>
          <w:szCs w:val="26"/>
        </w:rPr>
        <w:t xml:space="preserve"> млн. рублей).</w:t>
      </w:r>
    </w:p>
    <w:p w:rsidR="00B139E4" w:rsidRPr="000910D1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EAD">
        <w:rPr>
          <w:rFonts w:ascii="Times New Roman" w:hAnsi="Times New Roman" w:cs="Times New Roman"/>
          <w:sz w:val="26"/>
          <w:szCs w:val="26"/>
        </w:rPr>
        <w:t xml:space="preserve">В прогнозном периоде ожидается увеличение объема инвестиционных </w:t>
      </w:r>
      <w:r w:rsidRPr="000910D1">
        <w:rPr>
          <w:rFonts w:ascii="Times New Roman" w:hAnsi="Times New Roman" w:cs="Times New Roman"/>
          <w:sz w:val="26"/>
          <w:szCs w:val="26"/>
        </w:rPr>
        <w:t>вложений в 2019 году по базовому варианту (</w:t>
      </w:r>
      <w:r w:rsidR="000910D1" w:rsidRPr="000910D1">
        <w:rPr>
          <w:rFonts w:ascii="Times New Roman" w:hAnsi="Times New Roman" w:cs="Times New Roman"/>
          <w:sz w:val="26"/>
          <w:szCs w:val="26"/>
        </w:rPr>
        <w:t>101,84</w:t>
      </w:r>
      <w:r w:rsidRPr="000910D1">
        <w:rPr>
          <w:rFonts w:ascii="Times New Roman" w:hAnsi="Times New Roman" w:cs="Times New Roman"/>
          <w:sz w:val="26"/>
          <w:szCs w:val="26"/>
        </w:rPr>
        <w:t xml:space="preserve">% к уровню 2018 года или </w:t>
      </w:r>
      <w:r w:rsidR="000910D1" w:rsidRPr="000910D1">
        <w:rPr>
          <w:rFonts w:ascii="Times New Roman" w:hAnsi="Times New Roman" w:cs="Times New Roman"/>
          <w:sz w:val="26"/>
          <w:szCs w:val="26"/>
        </w:rPr>
        <w:t>16 926,52</w:t>
      </w:r>
      <w:r w:rsidRPr="000910D1">
        <w:rPr>
          <w:rFonts w:ascii="Times New Roman" w:hAnsi="Times New Roman" w:cs="Times New Roman"/>
          <w:sz w:val="26"/>
          <w:szCs w:val="26"/>
        </w:rPr>
        <w:t xml:space="preserve"> млн. рублей),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0910D1">
        <w:rPr>
          <w:rFonts w:ascii="Times New Roman" w:hAnsi="Times New Roman" w:cs="Times New Roman"/>
          <w:sz w:val="26"/>
          <w:szCs w:val="26"/>
        </w:rPr>
        <w:t xml:space="preserve">и рост к 2024 году на </w:t>
      </w:r>
      <w:r w:rsidR="000910D1" w:rsidRPr="000910D1">
        <w:rPr>
          <w:rFonts w:ascii="Times New Roman" w:hAnsi="Times New Roman" w:cs="Times New Roman"/>
          <w:sz w:val="26"/>
          <w:szCs w:val="26"/>
        </w:rPr>
        <w:t>6</w:t>
      </w:r>
      <w:r w:rsidRPr="000910D1">
        <w:rPr>
          <w:rFonts w:ascii="Times New Roman" w:hAnsi="Times New Roman" w:cs="Times New Roman"/>
          <w:sz w:val="26"/>
          <w:szCs w:val="26"/>
        </w:rPr>
        <w:t>,6% к уровню 2018 года (или 17</w:t>
      </w:r>
      <w:r w:rsidR="000910D1" w:rsidRPr="000910D1">
        <w:rPr>
          <w:rFonts w:ascii="Times New Roman" w:hAnsi="Times New Roman" w:cs="Times New Roman"/>
          <w:sz w:val="26"/>
          <w:szCs w:val="26"/>
        </w:rPr>
        <w:t xml:space="preserve"> 715,36 </w:t>
      </w:r>
      <w:r w:rsidRPr="000910D1">
        <w:rPr>
          <w:rFonts w:ascii="Times New Roman" w:hAnsi="Times New Roman" w:cs="Times New Roman"/>
          <w:sz w:val="26"/>
          <w:szCs w:val="26"/>
        </w:rPr>
        <w:t xml:space="preserve">млн. рублей). </w:t>
      </w:r>
    </w:p>
    <w:p w:rsidR="00B139E4" w:rsidRPr="00A63AB5" w:rsidRDefault="00B139E4" w:rsidP="00B139E4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A63AB5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6124575" cy="3429000"/>
            <wp:effectExtent l="0" t="0" r="0" b="0"/>
            <wp:docPr id="5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39E4" w:rsidRPr="00A63AB5" w:rsidRDefault="00B139E4" w:rsidP="00B139E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B139E4" w:rsidRPr="00C81398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 xml:space="preserve">В прогнозном периоде темп роста объема инвестиций в сфере добычи полезных ископаемых составит по базовому варианту составят: в 2018 году – </w:t>
      </w:r>
      <w:r w:rsidR="00C81398" w:rsidRPr="00C81398">
        <w:rPr>
          <w:rFonts w:ascii="Times New Roman" w:hAnsi="Times New Roman" w:cs="Times New Roman"/>
          <w:sz w:val="26"/>
          <w:szCs w:val="26"/>
        </w:rPr>
        <w:t>98,8</w:t>
      </w:r>
      <w:r w:rsidRPr="00C81398">
        <w:rPr>
          <w:rFonts w:ascii="Times New Roman" w:hAnsi="Times New Roman" w:cs="Times New Roman"/>
          <w:sz w:val="26"/>
          <w:szCs w:val="26"/>
        </w:rPr>
        <w:t xml:space="preserve">%, в 2024 году – </w:t>
      </w:r>
      <w:r w:rsidR="00C81398" w:rsidRPr="00C81398">
        <w:rPr>
          <w:rFonts w:ascii="Times New Roman" w:hAnsi="Times New Roman" w:cs="Times New Roman"/>
          <w:sz w:val="26"/>
          <w:szCs w:val="26"/>
        </w:rPr>
        <w:t>101,1</w:t>
      </w:r>
      <w:r w:rsidRPr="00C81398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B139E4" w:rsidRPr="00C81398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>Капитальные вложения в сфере добычи полезных ископаемых будут направлены на предоставление услуг по бурению эксплуатационных и разведочных скважин, реконструкцию действующих объектов и прочих услуг, связанных с добычей нефти и газа. В данной сфере капитальные вложения осуществляют такие предприятия как: общество с ограниченной ответственностью «</w:t>
      </w:r>
      <w:proofErr w:type="spellStart"/>
      <w:r w:rsidRPr="00C81398">
        <w:rPr>
          <w:rFonts w:ascii="Times New Roman" w:hAnsi="Times New Roman" w:cs="Times New Roman"/>
          <w:sz w:val="26"/>
          <w:szCs w:val="26"/>
        </w:rPr>
        <w:t>КАТКонефть</w:t>
      </w:r>
      <w:proofErr w:type="spellEnd"/>
      <w:r w:rsidRPr="00C81398">
        <w:rPr>
          <w:rFonts w:ascii="Times New Roman" w:hAnsi="Times New Roman" w:cs="Times New Roman"/>
          <w:sz w:val="26"/>
          <w:szCs w:val="26"/>
        </w:rPr>
        <w:t>», закрытое акционерное общество «ЛУКОЙЛ-АИК», общество с ограниченной ответственностью «Центр научно-исследовательских и производственных работ» и другие предприятия.</w:t>
      </w:r>
    </w:p>
    <w:p w:rsidR="00B139E4" w:rsidRPr="00C81398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 xml:space="preserve">В 2017 году капитальные вложения в обрабатывающие производства составили 1 673,9 млн. рублей или </w:t>
      </w:r>
      <w:r w:rsidR="00C81398" w:rsidRPr="00C81398">
        <w:rPr>
          <w:rFonts w:ascii="Times New Roman" w:hAnsi="Times New Roman" w:cs="Times New Roman"/>
          <w:sz w:val="26"/>
          <w:szCs w:val="26"/>
        </w:rPr>
        <w:t>83,2</w:t>
      </w:r>
      <w:r w:rsidRPr="00C81398">
        <w:rPr>
          <w:rFonts w:ascii="Times New Roman" w:hAnsi="Times New Roman" w:cs="Times New Roman"/>
          <w:sz w:val="26"/>
          <w:szCs w:val="26"/>
        </w:rPr>
        <w:t xml:space="preserve">% к предыдущему году в сопоставимых ценах. </w:t>
      </w:r>
    </w:p>
    <w:p w:rsidR="00B139E4" w:rsidRPr="00C81398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 xml:space="preserve">В среднесрочной перспективе индекс физического объема инвестиций в обрабатывающем производстве в базовом варианте составит от </w:t>
      </w:r>
      <w:r w:rsidR="00C81398" w:rsidRPr="00C81398">
        <w:rPr>
          <w:rFonts w:ascii="Times New Roman" w:hAnsi="Times New Roman" w:cs="Times New Roman"/>
          <w:sz w:val="26"/>
          <w:szCs w:val="26"/>
        </w:rPr>
        <w:t>98,9</w:t>
      </w:r>
      <w:r w:rsidRPr="00C81398">
        <w:rPr>
          <w:rFonts w:ascii="Times New Roman" w:hAnsi="Times New Roman" w:cs="Times New Roman"/>
          <w:sz w:val="26"/>
          <w:szCs w:val="26"/>
        </w:rPr>
        <w:t xml:space="preserve">% в 2019 году до </w:t>
      </w:r>
      <w:r w:rsidR="00C81398" w:rsidRPr="00C81398">
        <w:rPr>
          <w:rFonts w:ascii="Times New Roman" w:hAnsi="Times New Roman" w:cs="Times New Roman"/>
          <w:sz w:val="26"/>
          <w:szCs w:val="26"/>
        </w:rPr>
        <w:t>99,1</w:t>
      </w:r>
      <w:r w:rsidRPr="00C81398">
        <w:rPr>
          <w:rFonts w:ascii="Times New Roman" w:hAnsi="Times New Roman" w:cs="Times New Roman"/>
          <w:sz w:val="26"/>
          <w:szCs w:val="26"/>
        </w:rPr>
        <w:t>% в 2024 году.</w:t>
      </w:r>
    </w:p>
    <w:p w:rsidR="00B139E4" w:rsidRPr="00A63AB5" w:rsidRDefault="00B139E4" w:rsidP="00B139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>Темп роста инвестиций в обеспечение электрической энергией, газом и паром, кондиционирование воздуха составит в 2019 году</w:t>
      </w:r>
      <w:r w:rsidR="00C81398">
        <w:rPr>
          <w:rFonts w:ascii="Times New Roman" w:hAnsi="Times New Roman" w:cs="Times New Roman"/>
          <w:sz w:val="26"/>
          <w:szCs w:val="26"/>
        </w:rPr>
        <w:t xml:space="preserve"> по базовому варианту</w:t>
      </w:r>
      <w:r w:rsidRPr="00C81398">
        <w:rPr>
          <w:rFonts w:ascii="Times New Roman" w:hAnsi="Times New Roman" w:cs="Times New Roman"/>
          <w:sz w:val="26"/>
          <w:szCs w:val="26"/>
        </w:rPr>
        <w:t xml:space="preserve"> </w:t>
      </w:r>
      <w:r w:rsidR="00C81398" w:rsidRPr="00C81398">
        <w:rPr>
          <w:rFonts w:ascii="Times New Roman" w:hAnsi="Times New Roman" w:cs="Times New Roman"/>
          <w:sz w:val="26"/>
          <w:szCs w:val="26"/>
        </w:rPr>
        <w:t>100,8</w:t>
      </w:r>
      <w:r w:rsidRPr="00C81398">
        <w:rPr>
          <w:rFonts w:ascii="Times New Roman" w:hAnsi="Times New Roman" w:cs="Times New Roman"/>
          <w:sz w:val="26"/>
          <w:szCs w:val="26"/>
        </w:rPr>
        <w:t>% (15,</w:t>
      </w:r>
      <w:r w:rsidR="00C81398" w:rsidRPr="00C81398">
        <w:rPr>
          <w:rFonts w:ascii="Times New Roman" w:hAnsi="Times New Roman" w:cs="Times New Roman"/>
          <w:sz w:val="26"/>
          <w:szCs w:val="26"/>
        </w:rPr>
        <w:t>16</w:t>
      </w:r>
      <w:r w:rsidRPr="00C81398">
        <w:rPr>
          <w:rFonts w:ascii="Times New Roman" w:hAnsi="Times New Roman" w:cs="Times New Roman"/>
          <w:sz w:val="26"/>
          <w:szCs w:val="26"/>
        </w:rPr>
        <w:t xml:space="preserve"> млн. рублей),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C81398">
        <w:rPr>
          <w:rFonts w:ascii="Times New Roman" w:hAnsi="Times New Roman" w:cs="Times New Roman"/>
          <w:sz w:val="26"/>
          <w:szCs w:val="26"/>
        </w:rPr>
        <w:t xml:space="preserve">в 2024 году </w:t>
      </w:r>
      <w:r w:rsidR="00C81398" w:rsidRPr="00C81398">
        <w:rPr>
          <w:rFonts w:ascii="Times New Roman" w:hAnsi="Times New Roman" w:cs="Times New Roman"/>
          <w:sz w:val="26"/>
          <w:szCs w:val="26"/>
        </w:rPr>
        <w:t>104,7</w:t>
      </w:r>
      <w:r w:rsidRPr="00C81398">
        <w:rPr>
          <w:rFonts w:ascii="Times New Roman" w:hAnsi="Times New Roman" w:cs="Times New Roman"/>
          <w:sz w:val="26"/>
          <w:szCs w:val="26"/>
        </w:rPr>
        <w:t>% (15,</w:t>
      </w:r>
      <w:r w:rsidR="00C81398" w:rsidRPr="00C81398">
        <w:rPr>
          <w:rFonts w:ascii="Times New Roman" w:hAnsi="Times New Roman" w:cs="Times New Roman"/>
          <w:sz w:val="26"/>
          <w:szCs w:val="26"/>
        </w:rPr>
        <w:t>86</w:t>
      </w:r>
      <w:r w:rsidRPr="00C81398">
        <w:rPr>
          <w:rFonts w:ascii="Times New Roman" w:hAnsi="Times New Roman" w:cs="Times New Roman"/>
          <w:sz w:val="26"/>
          <w:szCs w:val="26"/>
        </w:rPr>
        <w:t xml:space="preserve"> млн. рублей) по отношению к 201</w:t>
      </w:r>
      <w:r w:rsidR="00C81398" w:rsidRPr="00C81398">
        <w:rPr>
          <w:rFonts w:ascii="Times New Roman" w:hAnsi="Times New Roman" w:cs="Times New Roman"/>
          <w:sz w:val="26"/>
          <w:szCs w:val="26"/>
        </w:rPr>
        <w:t>9</w:t>
      </w:r>
      <w:r w:rsidRPr="00C81398">
        <w:rPr>
          <w:rFonts w:ascii="Times New Roman" w:hAnsi="Times New Roman" w:cs="Times New Roman"/>
          <w:sz w:val="26"/>
          <w:szCs w:val="26"/>
        </w:rPr>
        <w:t xml:space="preserve"> году по базовому варианту.</w:t>
      </w:r>
    </w:p>
    <w:p w:rsidR="00B139E4" w:rsidRPr="00C81398" w:rsidRDefault="00B139E4" w:rsidP="00B139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 xml:space="preserve">Темп роста инвестиций в водоснабжение, водоотведение, организацию сбора и утилизацию отходов, деятельность по ликвидации загрязнений составит в 2019 году </w:t>
      </w:r>
      <w:r w:rsidR="00C81398" w:rsidRPr="00C81398">
        <w:rPr>
          <w:rFonts w:ascii="Times New Roman" w:hAnsi="Times New Roman" w:cs="Times New Roman"/>
          <w:sz w:val="26"/>
          <w:szCs w:val="26"/>
        </w:rPr>
        <w:t>100,80</w:t>
      </w:r>
      <w:r w:rsidRPr="00C81398">
        <w:rPr>
          <w:rFonts w:ascii="Times New Roman" w:hAnsi="Times New Roman" w:cs="Times New Roman"/>
          <w:sz w:val="26"/>
          <w:szCs w:val="26"/>
        </w:rPr>
        <w:t>% (</w:t>
      </w:r>
      <w:r w:rsidR="00C81398" w:rsidRPr="00C81398">
        <w:rPr>
          <w:rFonts w:ascii="Times New Roman" w:hAnsi="Times New Roman" w:cs="Times New Roman"/>
          <w:sz w:val="26"/>
          <w:szCs w:val="26"/>
        </w:rPr>
        <w:t>489,55</w:t>
      </w:r>
      <w:r w:rsidRPr="00C81398">
        <w:rPr>
          <w:rFonts w:ascii="Times New Roman" w:hAnsi="Times New Roman" w:cs="Times New Roman"/>
          <w:sz w:val="26"/>
          <w:szCs w:val="26"/>
        </w:rPr>
        <w:t xml:space="preserve"> млн. рублей), в 2024 году </w:t>
      </w:r>
      <w:r w:rsidR="00C81398" w:rsidRPr="00C81398">
        <w:rPr>
          <w:rFonts w:ascii="Times New Roman" w:hAnsi="Times New Roman" w:cs="Times New Roman"/>
          <w:sz w:val="26"/>
          <w:szCs w:val="26"/>
        </w:rPr>
        <w:t>104,7</w:t>
      </w:r>
      <w:r w:rsidRPr="00C81398">
        <w:rPr>
          <w:rFonts w:ascii="Times New Roman" w:hAnsi="Times New Roman" w:cs="Times New Roman"/>
          <w:sz w:val="26"/>
          <w:szCs w:val="26"/>
        </w:rPr>
        <w:t>% (</w:t>
      </w:r>
      <w:r w:rsidR="00C81398" w:rsidRPr="00C81398">
        <w:rPr>
          <w:rFonts w:ascii="Times New Roman" w:hAnsi="Times New Roman" w:cs="Times New Roman"/>
          <w:sz w:val="26"/>
          <w:szCs w:val="26"/>
        </w:rPr>
        <w:t>512,39</w:t>
      </w:r>
      <w:r w:rsidRPr="00C81398">
        <w:rPr>
          <w:rFonts w:ascii="Times New Roman" w:hAnsi="Times New Roman" w:cs="Times New Roman"/>
          <w:sz w:val="26"/>
          <w:szCs w:val="26"/>
        </w:rPr>
        <w:t xml:space="preserve"> млн. рублей) к 201</w:t>
      </w:r>
      <w:r w:rsidR="00C81398" w:rsidRPr="00C81398">
        <w:rPr>
          <w:rFonts w:ascii="Times New Roman" w:hAnsi="Times New Roman" w:cs="Times New Roman"/>
          <w:sz w:val="26"/>
          <w:szCs w:val="26"/>
        </w:rPr>
        <w:t>9</w:t>
      </w:r>
      <w:r w:rsidRPr="00C81398">
        <w:rPr>
          <w:rFonts w:ascii="Times New Roman" w:hAnsi="Times New Roman" w:cs="Times New Roman"/>
          <w:sz w:val="26"/>
          <w:szCs w:val="26"/>
        </w:rPr>
        <w:t xml:space="preserve"> году по базовому варианту.</w:t>
      </w:r>
    </w:p>
    <w:p w:rsidR="00B139E4" w:rsidRPr="00A63AB5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 xml:space="preserve">Объем инвестиций, направленных в строительство, по оценке в 2018 году составит </w:t>
      </w:r>
      <w:r w:rsidR="00C81398" w:rsidRPr="00C81398">
        <w:rPr>
          <w:rFonts w:ascii="Times New Roman" w:hAnsi="Times New Roman" w:cs="Times New Roman"/>
          <w:sz w:val="26"/>
          <w:szCs w:val="26"/>
        </w:rPr>
        <w:t>746,85</w:t>
      </w:r>
      <w:r w:rsidRPr="00C81398">
        <w:rPr>
          <w:rFonts w:ascii="Times New Roman" w:hAnsi="Times New Roman" w:cs="Times New Roman"/>
          <w:sz w:val="26"/>
          <w:szCs w:val="26"/>
        </w:rPr>
        <w:t xml:space="preserve"> млн. рублей (увеличение на 1,2% раза к уровню 2017 года). В последующие годы предусматривается продолжение работ по строительству жилья, благоустройству микрорайонов и строительству инженерных сетей к вновь вводимым жилым домам.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B139E4" w:rsidRPr="00C81398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 xml:space="preserve">В дальнейшем планируется строительство большого спортивного объекта – футбольный стадион «Открытие». Предполагается, что архитектурный облик здания повторяет черты существующего стадиона «Открытие Арена» в городе Москва. </w:t>
      </w:r>
    </w:p>
    <w:p w:rsidR="00B139E4" w:rsidRPr="00A63AB5" w:rsidRDefault="00B139E4" w:rsidP="00B1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C81398">
        <w:rPr>
          <w:rFonts w:ascii="Times New Roman" w:hAnsi="Times New Roman" w:cs="Times New Roman"/>
          <w:sz w:val="26"/>
          <w:szCs w:val="26"/>
        </w:rPr>
        <w:t xml:space="preserve">Основным источником финансирования капитальных вложений в 2017 году являются собственные средства предприятий, их доля составила </w:t>
      </w:r>
      <w:r w:rsidR="00C81398" w:rsidRPr="00C81398">
        <w:rPr>
          <w:rFonts w:ascii="Times New Roman" w:hAnsi="Times New Roman" w:cs="Times New Roman"/>
          <w:sz w:val="26"/>
          <w:szCs w:val="26"/>
        </w:rPr>
        <w:t>90,6</w:t>
      </w:r>
      <w:r w:rsidRPr="00C81398">
        <w:rPr>
          <w:rFonts w:ascii="Times New Roman" w:hAnsi="Times New Roman" w:cs="Times New Roman"/>
          <w:sz w:val="26"/>
          <w:szCs w:val="26"/>
        </w:rPr>
        <w:t xml:space="preserve">% в общем объёме </w:t>
      </w:r>
      <w:r w:rsidRPr="00612CA3">
        <w:rPr>
          <w:rFonts w:ascii="Times New Roman" w:hAnsi="Times New Roman" w:cs="Times New Roman"/>
          <w:sz w:val="26"/>
          <w:szCs w:val="26"/>
        </w:rPr>
        <w:t>инвестиций. На долю привлеченных средств приходится 9,</w:t>
      </w:r>
      <w:r w:rsidR="00C81398" w:rsidRPr="00612CA3">
        <w:rPr>
          <w:rFonts w:ascii="Times New Roman" w:hAnsi="Times New Roman" w:cs="Times New Roman"/>
          <w:sz w:val="26"/>
          <w:szCs w:val="26"/>
        </w:rPr>
        <w:t>4</w:t>
      </w:r>
      <w:r w:rsidRPr="00612CA3">
        <w:rPr>
          <w:rFonts w:ascii="Times New Roman" w:hAnsi="Times New Roman" w:cs="Times New Roman"/>
          <w:sz w:val="26"/>
          <w:szCs w:val="26"/>
        </w:rPr>
        <w:t>%. В дальнейшем удельный вес капитальных вложений за счет привлеченных средств продолжит снижаться (снижение объема бюджетных средств).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B139E4" w:rsidRPr="00612CA3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 xml:space="preserve">Бюджетные средства в общем объеме привлеченных средств в 2017 году составили </w:t>
      </w:r>
      <w:r w:rsidR="00612CA3" w:rsidRPr="00612CA3">
        <w:rPr>
          <w:rFonts w:ascii="Times New Roman" w:hAnsi="Times New Roman" w:cs="Times New Roman"/>
          <w:sz w:val="26"/>
          <w:szCs w:val="26"/>
        </w:rPr>
        <w:t>86,6</w:t>
      </w:r>
      <w:r w:rsidRPr="00612CA3">
        <w:rPr>
          <w:rFonts w:ascii="Times New Roman" w:hAnsi="Times New Roman" w:cs="Times New Roman"/>
          <w:sz w:val="26"/>
          <w:szCs w:val="26"/>
        </w:rPr>
        <w:t>%,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612CA3">
        <w:rPr>
          <w:rFonts w:ascii="Times New Roman" w:hAnsi="Times New Roman" w:cs="Times New Roman"/>
          <w:sz w:val="26"/>
          <w:szCs w:val="26"/>
        </w:rPr>
        <w:t xml:space="preserve">основные направления капитальных вложений - развитие инфраструктуры в образовании, культуре, молодёжной политике, физической культуре и спорте, модернизация и реконструкция </w:t>
      </w:r>
      <w:proofErr w:type="spellStart"/>
      <w:r w:rsidRPr="00612CA3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612CA3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т.д. </w:t>
      </w:r>
    </w:p>
    <w:p w:rsidR="00B139E4" w:rsidRPr="00612CA3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За счёт бюджетных средств, в прогнозном периоде, будет осуществлено строительство магистральных внутриквартальных инженерных сетей застройки жилыми домами поселка Пионерный, а также по улице Комсомольской в городе Когалыме, приобретение жилья, строительство средней общеобразовательной школы и др.</w:t>
      </w:r>
    </w:p>
    <w:p w:rsidR="00B139E4" w:rsidRPr="00612CA3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В целях стимулирования инвестиционной активности и привлечения средств инвесторов для решения задач социально-экономического развития города Когалыма, увеличения поступлений в бюджет города, в городе Когалыме:</w:t>
      </w:r>
    </w:p>
    <w:p w:rsidR="00B139E4" w:rsidRPr="00612CA3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- сформирована нормативная правовая база;</w:t>
      </w:r>
    </w:p>
    <w:p w:rsidR="00B139E4" w:rsidRPr="00612CA3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- с целью обеспечения развития коммунальных систем и объектов в соответствии с потребностями жилищного и промышленного строительства, повышения качества производимых для потребителей коммунальных услуг, решением Думы города Когалыма от 28.04.2010 №482-ГД утверждена «Программа комплексного развития систем коммунальной инфраструктуры города Когалыма на 2010-2020 годы»;</w:t>
      </w:r>
    </w:p>
    <w:p w:rsidR="00B139E4" w:rsidRPr="00612CA3" w:rsidRDefault="00B139E4" w:rsidP="00B13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- с целью обеспечение нормативного соответствия и надёжности функционирования транспортных систем, способствующих комфортным и безопасным условиям для проживания людей решением Думы города Когалыма от 29.11.2017 №126-ГД «Программа комплексного развития транспортной инфраструктуры муниципального образования Ханты-Мансийского автономного округа – Югры городской округ город Когалым на период 2018 – 2035 годы»;</w:t>
      </w:r>
    </w:p>
    <w:p w:rsidR="00B139E4" w:rsidRPr="00612CA3" w:rsidRDefault="00B139E4" w:rsidP="00B13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- с целью обеспечения сбалансированного перспективного развития социальной инфраструктуры городского округа город Когалыма до 2035 года в соответствии с установленными потребностями в строительстве объектов социальной инфраструктуры решением Думы города Когалыма от 29.11.2017 №127-ГД «Программа комплексного развития социальной инфраструктуры городского округа город Когалым на период 2018 – 2035 годы».</w:t>
      </w:r>
    </w:p>
    <w:p w:rsidR="00B139E4" w:rsidRPr="00612CA3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В рамках реализации муниципальных программ реализуются меры поддержки субъектов малого и среднего предпринимательства.</w:t>
      </w:r>
    </w:p>
    <w:p w:rsidR="00B139E4" w:rsidRPr="00612CA3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 xml:space="preserve">В 2017 году между Администрацией города Когалыма и Департаментом экономического развития Ханты-Мансийского автономного округа – Югры заключено соглашение о сотрудничестве по вопросам внедрения 7 успешных практик на основе проектного управления и мониторинга результатов внедрения в 2016 году 12 успешных практик. В рамках мониторинга результатов внедрения Администрацией города Когалыма сформирован детальный план мероприятий. План был согласован Департаментом экономического развития ХМАО-Югры и экспертной группой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в городе Когалыме. В результате проведенной работы </w:t>
      </w:r>
      <w:r w:rsidR="00AE03F9" w:rsidRPr="00612CA3">
        <w:rPr>
          <w:rFonts w:ascii="Times New Roman" w:hAnsi="Times New Roman" w:cs="Times New Roman"/>
          <w:sz w:val="26"/>
          <w:szCs w:val="26"/>
        </w:rPr>
        <w:t xml:space="preserve">в 2017 году </w:t>
      </w:r>
      <w:r w:rsidRPr="00612CA3">
        <w:rPr>
          <w:rFonts w:ascii="Times New Roman" w:hAnsi="Times New Roman" w:cs="Times New Roman"/>
          <w:sz w:val="26"/>
          <w:szCs w:val="26"/>
        </w:rPr>
        <w:t xml:space="preserve">12 успешных практик </w:t>
      </w:r>
      <w:r w:rsidR="00AE03F9" w:rsidRPr="00612CA3">
        <w:rPr>
          <w:rFonts w:ascii="Times New Roman" w:hAnsi="Times New Roman" w:cs="Times New Roman"/>
          <w:sz w:val="26"/>
          <w:szCs w:val="26"/>
        </w:rPr>
        <w:t xml:space="preserve">внедренных в 2016 году, </w:t>
      </w:r>
      <w:r w:rsidRPr="00612CA3">
        <w:rPr>
          <w:rFonts w:ascii="Times New Roman" w:hAnsi="Times New Roman" w:cs="Times New Roman"/>
          <w:sz w:val="26"/>
          <w:szCs w:val="26"/>
        </w:rPr>
        <w:t>полностью прошли мониторинг результатов внедрения, обществе</w:t>
      </w:r>
      <w:r w:rsidR="00AE03F9" w:rsidRPr="00612CA3">
        <w:rPr>
          <w:rFonts w:ascii="Times New Roman" w:hAnsi="Times New Roman" w:cs="Times New Roman"/>
          <w:sz w:val="26"/>
          <w:szCs w:val="26"/>
        </w:rPr>
        <w:t>нную и ведомственную экспертизу. В течение 2017 года полностью внедрены</w:t>
      </w:r>
      <w:r w:rsidRPr="00612CA3">
        <w:rPr>
          <w:rFonts w:ascii="Times New Roman" w:hAnsi="Times New Roman" w:cs="Times New Roman"/>
          <w:sz w:val="26"/>
          <w:szCs w:val="26"/>
        </w:rPr>
        <w:t xml:space="preserve"> </w:t>
      </w:r>
      <w:r w:rsidR="00AE03F9" w:rsidRPr="00612CA3">
        <w:rPr>
          <w:rFonts w:ascii="Times New Roman" w:hAnsi="Times New Roman" w:cs="Times New Roman"/>
          <w:sz w:val="26"/>
          <w:szCs w:val="26"/>
        </w:rPr>
        <w:t xml:space="preserve">еще </w:t>
      </w:r>
      <w:r w:rsidRPr="00612CA3">
        <w:rPr>
          <w:rFonts w:ascii="Times New Roman" w:hAnsi="Times New Roman" w:cs="Times New Roman"/>
          <w:sz w:val="26"/>
          <w:szCs w:val="26"/>
        </w:rPr>
        <w:t>7 успешных практик,</w:t>
      </w:r>
      <w:r w:rsidR="00AE03F9" w:rsidRPr="00612CA3">
        <w:rPr>
          <w:rFonts w:ascii="Times New Roman" w:hAnsi="Times New Roman" w:cs="Times New Roman"/>
          <w:sz w:val="26"/>
          <w:szCs w:val="26"/>
        </w:rPr>
        <w:t xml:space="preserve"> которые</w:t>
      </w:r>
      <w:r w:rsidRPr="00612CA3">
        <w:rPr>
          <w:rFonts w:ascii="Times New Roman" w:hAnsi="Times New Roman" w:cs="Times New Roman"/>
          <w:sz w:val="26"/>
          <w:szCs w:val="26"/>
        </w:rPr>
        <w:t xml:space="preserve"> прошли общественную</w:t>
      </w:r>
      <w:r w:rsidR="00AE03F9" w:rsidRPr="00612CA3">
        <w:rPr>
          <w:rFonts w:ascii="Times New Roman" w:hAnsi="Times New Roman" w:cs="Times New Roman"/>
          <w:sz w:val="26"/>
          <w:szCs w:val="26"/>
        </w:rPr>
        <w:t xml:space="preserve"> и ведомственную</w:t>
      </w:r>
      <w:r w:rsidRPr="00612CA3">
        <w:rPr>
          <w:rFonts w:ascii="Times New Roman" w:hAnsi="Times New Roman" w:cs="Times New Roman"/>
          <w:sz w:val="26"/>
          <w:szCs w:val="26"/>
        </w:rPr>
        <w:t xml:space="preserve"> экспертизу.</w:t>
      </w:r>
    </w:p>
    <w:p w:rsidR="00B139E4" w:rsidRPr="00612CA3" w:rsidRDefault="00B139E4" w:rsidP="00B139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На федеральном уровне утверждены целевые модели упрощения процедур ведения бизнеса и повышения инвестиционной привлекательности субъектов Российской Федерации (распоряжение от 31.07.2017 № 147-р). В автономном округе</w:t>
      </w:r>
      <w:r w:rsidR="00AE03F9" w:rsidRPr="00612CA3">
        <w:rPr>
          <w:rFonts w:ascii="Times New Roman" w:hAnsi="Times New Roman" w:cs="Times New Roman"/>
          <w:sz w:val="26"/>
          <w:szCs w:val="26"/>
        </w:rPr>
        <w:t xml:space="preserve"> в 2017 году</w:t>
      </w:r>
      <w:r w:rsidR="003F6100" w:rsidRPr="00612CA3">
        <w:rPr>
          <w:rFonts w:ascii="Times New Roman" w:hAnsi="Times New Roman" w:cs="Times New Roman"/>
          <w:sz w:val="26"/>
          <w:szCs w:val="26"/>
        </w:rPr>
        <w:t xml:space="preserve"> </w:t>
      </w:r>
      <w:r w:rsidR="00AE03F9" w:rsidRPr="00612CA3">
        <w:rPr>
          <w:rFonts w:ascii="Times New Roman" w:hAnsi="Times New Roman" w:cs="Times New Roman"/>
          <w:sz w:val="26"/>
          <w:szCs w:val="26"/>
        </w:rPr>
        <w:t xml:space="preserve"> </w:t>
      </w:r>
      <w:r w:rsidRPr="00612CA3">
        <w:rPr>
          <w:rFonts w:ascii="Times New Roman" w:hAnsi="Times New Roman" w:cs="Times New Roman"/>
          <w:sz w:val="26"/>
          <w:szCs w:val="26"/>
        </w:rPr>
        <w:t xml:space="preserve"> целевы</w:t>
      </w:r>
      <w:r w:rsidR="003F6100" w:rsidRPr="00612CA3">
        <w:rPr>
          <w:rFonts w:ascii="Times New Roman" w:hAnsi="Times New Roman" w:cs="Times New Roman"/>
          <w:sz w:val="26"/>
          <w:szCs w:val="26"/>
        </w:rPr>
        <w:t>е</w:t>
      </w:r>
      <w:r w:rsidRPr="00612CA3">
        <w:rPr>
          <w:rFonts w:ascii="Times New Roman" w:hAnsi="Times New Roman" w:cs="Times New Roman"/>
          <w:sz w:val="26"/>
          <w:szCs w:val="26"/>
        </w:rPr>
        <w:t xml:space="preserve"> модел</w:t>
      </w:r>
      <w:r w:rsidR="003F6100" w:rsidRPr="00612CA3">
        <w:rPr>
          <w:rFonts w:ascii="Times New Roman" w:hAnsi="Times New Roman" w:cs="Times New Roman"/>
          <w:sz w:val="26"/>
          <w:szCs w:val="26"/>
        </w:rPr>
        <w:t>и внедрялись</w:t>
      </w:r>
      <w:r w:rsidRPr="00612CA3">
        <w:rPr>
          <w:rFonts w:ascii="Times New Roman" w:hAnsi="Times New Roman" w:cs="Times New Roman"/>
          <w:sz w:val="26"/>
          <w:szCs w:val="26"/>
        </w:rPr>
        <w:t xml:space="preserve"> в рамках 9 портфелей проектов. </w:t>
      </w:r>
    </w:p>
    <w:p w:rsidR="00B139E4" w:rsidRPr="00612CA3" w:rsidRDefault="00B139E4" w:rsidP="00B139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Соответствующими органами исполнительной власти автономного округа утверждены портфели проектов, основанные на целевых моделях, определенных перечнем поручений Президента Российской Федерации.</w:t>
      </w:r>
    </w:p>
    <w:p w:rsidR="00B139E4" w:rsidRPr="00612CA3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Когалым принима</w:t>
      </w:r>
      <w:r w:rsidR="003F6100" w:rsidRPr="00612CA3">
        <w:rPr>
          <w:rFonts w:ascii="Times New Roman" w:hAnsi="Times New Roman" w:cs="Times New Roman"/>
          <w:sz w:val="26"/>
          <w:szCs w:val="26"/>
        </w:rPr>
        <w:t>л</w:t>
      </w:r>
      <w:r w:rsidRPr="00612CA3">
        <w:rPr>
          <w:rFonts w:ascii="Times New Roman" w:hAnsi="Times New Roman" w:cs="Times New Roman"/>
          <w:sz w:val="26"/>
          <w:szCs w:val="26"/>
        </w:rPr>
        <w:t xml:space="preserve"> участие в 6 портфелях проектов. По итогам 2017 года структурными подразделениями Администрации города Когалыма выполнены 43 мероприятия и достигнуто 42 показателя.</w:t>
      </w:r>
    </w:p>
    <w:p w:rsidR="00B139E4" w:rsidRPr="00612CA3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 xml:space="preserve">Продолжается работа по наполнению, обновлению и актуализации раздела «Инвестиционная деятельность, формирование благоприятных условий ведения предпринимательской деятельности», который расположен на официальном сайте Администрации города Когалыма в сети «Интернет». В данном разделе размещена вся информация о проводимой работе по формированию инвестиционного климата в городе Когалыме, а также необходимая инвесторам информация. </w:t>
      </w:r>
    </w:p>
    <w:p w:rsidR="00B139E4" w:rsidRPr="00A63AB5" w:rsidRDefault="00B139E4" w:rsidP="00B13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612CA3">
        <w:rPr>
          <w:rFonts w:ascii="Times New Roman" w:hAnsi="Times New Roman" w:cs="Times New Roman"/>
          <w:sz w:val="26"/>
          <w:szCs w:val="26"/>
        </w:rPr>
        <w:t>В отчетном периоде продолжена работа по обеспечению доступа инвесторов к имущественным ресурсам и инженерной инфраструктуре, повышению</w:t>
      </w:r>
      <w:r w:rsidRPr="00A63AB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612CA3">
        <w:rPr>
          <w:rFonts w:ascii="Times New Roman" w:hAnsi="Times New Roman" w:cs="Times New Roman"/>
          <w:sz w:val="26"/>
          <w:szCs w:val="26"/>
        </w:rPr>
        <w:t>информационной открытости.</w:t>
      </w:r>
    </w:p>
    <w:p w:rsidR="004779F3" w:rsidRPr="008952DA" w:rsidRDefault="004779F3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8C3" w:rsidRPr="008952DA" w:rsidRDefault="00F678C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" w:name="_Toc498075894"/>
      <w:r w:rsidRPr="008952DA">
        <w:rPr>
          <w:rFonts w:ascii="Times New Roman" w:hAnsi="Times New Roman" w:cs="Times New Roman"/>
          <w:b/>
          <w:color w:val="auto"/>
          <w:sz w:val="26"/>
          <w:szCs w:val="26"/>
        </w:rPr>
        <w:t xml:space="preserve">3. </w:t>
      </w:r>
      <w:r w:rsidR="00442AEA" w:rsidRPr="008952DA">
        <w:rPr>
          <w:rFonts w:ascii="Times New Roman" w:hAnsi="Times New Roman" w:cs="Times New Roman"/>
          <w:b/>
          <w:color w:val="auto"/>
          <w:sz w:val="26"/>
          <w:szCs w:val="26"/>
        </w:rPr>
        <w:t>СТРОИТЕЛЬСТВО</w:t>
      </w:r>
      <w:bookmarkEnd w:id="4"/>
    </w:p>
    <w:p w:rsidR="00F678C3" w:rsidRPr="008952DA" w:rsidRDefault="00F678C3" w:rsidP="005B3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79F3" w:rsidRPr="008952DA" w:rsidRDefault="004779F3" w:rsidP="00477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Темп роста объема работ, выполненных по виду деятельности «Строительство», в 2018 году ожидается на уровне 100,2% к показателю 2017 года, что в суммарном выражении по предварительным данным составит 7 427,50 млн. рублей. </w:t>
      </w:r>
    </w:p>
    <w:p w:rsidR="004779F3" w:rsidRPr="008952DA" w:rsidRDefault="00A82969" w:rsidP="00477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дальнейшем прогнозируется не</w:t>
      </w:r>
      <w:r w:rsidR="004779F3" w:rsidRPr="008952DA">
        <w:rPr>
          <w:rFonts w:ascii="Times New Roman" w:hAnsi="Times New Roman" w:cs="Times New Roman"/>
          <w:sz w:val="26"/>
          <w:szCs w:val="26"/>
        </w:rPr>
        <w:t>большой рост индекса физического объема данного показателя, в 2024 году объем выполненных работ по виду деятельности «Строительство» составит 8 136,74 млн. рублей по базовому варианту.</w:t>
      </w:r>
    </w:p>
    <w:p w:rsidR="004779F3" w:rsidRPr="008952DA" w:rsidRDefault="004779F3" w:rsidP="00477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2018 году будет завершена реконструкция объекта «Культурно-досуговый комплекс «Янтарь» под филиал Государственного академического Малого театра России». Продолжится строительство </w:t>
      </w:r>
      <w:bookmarkStart w:id="5" w:name="_Toc448584762"/>
      <w:r w:rsidRPr="008952DA">
        <w:rPr>
          <w:rFonts w:ascii="Times New Roman" w:hAnsi="Times New Roman" w:cs="Times New Roman"/>
          <w:sz w:val="26"/>
          <w:szCs w:val="26"/>
        </w:rPr>
        <w:t xml:space="preserve">магистральных инженерных сетей к средней общеобразовательной школе </w:t>
      </w:r>
      <w:r w:rsidR="0017254C">
        <w:rPr>
          <w:rFonts w:ascii="Times New Roman" w:hAnsi="Times New Roman" w:cs="Times New Roman"/>
          <w:sz w:val="26"/>
          <w:szCs w:val="26"/>
        </w:rPr>
        <w:t xml:space="preserve">с универсальной </w:t>
      </w:r>
      <w:proofErr w:type="spellStart"/>
      <w:r w:rsidR="0017254C">
        <w:rPr>
          <w:rFonts w:ascii="Times New Roman" w:hAnsi="Times New Roman" w:cs="Times New Roman"/>
          <w:sz w:val="26"/>
          <w:szCs w:val="26"/>
        </w:rPr>
        <w:t>безбарьерной</w:t>
      </w:r>
      <w:proofErr w:type="spellEnd"/>
      <w:r w:rsidR="0017254C">
        <w:rPr>
          <w:rFonts w:ascii="Times New Roman" w:hAnsi="Times New Roman" w:cs="Times New Roman"/>
          <w:sz w:val="26"/>
          <w:szCs w:val="26"/>
        </w:rPr>
        <w:t xml:space="preserve"> средой </w:t>
      </w:r>
      <w:r w:rsidRPr="008952DA">
        <w:rPr>
          <w:rFonts w:ascii="Times New Roman" w:hAnsi="Times New Roman" w:cs="Times New Roman"/>
          <w:sz w:val="26"/>
          <w:szCs w:val="26"/>
        </w:rPr>
        <w:t>на 1 1</w:t>
      </w:r>
      <w:r w:rsidR="0017254C">
        <w:rPr>
          <w:rFonts w:ascii="Times New Roman" w:hAnsi="Times New Roman" w:cs="Times New Roman"/>
          <w:sz w:val="26"/>
          <w:szCs w:val="26"/>
        </w:rPr>
        <w:t>25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мест по ул. Сибирской в городе Когалыме. Строительство самой школы запланировано на 2019-2021 годы.</w:t>
      </w:r>
      <w:r w:rsidR="0017254C">
        <w:rPr>
          <w:rFonts w:ascii="Times New Roman" w:hAnsi="Times New Roman" w:cs="Times New Roman"/>
          <w:sz w:val="26"/>
          <w:szCs w:val="26"/>
        </w:rPr>
        <w:t xml:space="preserve"> Также в прогнозном периоде планируется строительство детского сада на 320 мест.</w:t>
      </w:r>
    </w:p>
    <w:p w:rsidR="004779F3" w:rsidRPr="008952DA" w:rsidRDefault="004779F3" w:rsidP="00477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Обеспечение жителей города Когалыма доступным и комфортным жильём является одной из основных задач.</w:t>
      </w:r>
      <w:bookmarkEnd w:id="5"/>
      <w:r w:rsidRPr="008952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79F3" w:rsidRPr="008952DA" w:rsidRDefault="004779F3" w:rsidP="00477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2017 году ввод жилья составил 25,4 тыс. 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>., в том числе индивидуальное жилищное строительство площадью 1,4 тыс. кв. м.</w:t>
      </w:r>
    </w:p>
    <w:p w:rsidR="0066426A" w:rsidRPr="008952DA" w:rsidRDefault="0066426A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F05A30" w:rsidRPr="008952DA" w:rsidRDefault="00442AEA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6" w:name="_Toc498075895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 </w:t>
      </w:r>
      <w:r w:rsidR="00F05A30"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ПОТРЕБИТЕЛЬСКИЙ РЫНОК</w:t>
      </w:r>
      <w:bookmarkEnd w:id="6"/>
    </w:p>
    <w:p w:rsidR="009D50D6" w:rsidRPr="008952DA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5A30" w:rsidRPr="008952DA" w:rsidRDefault="009B7AD0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7" w:name="_Toc498075896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4.1. </w:t>
      </w:r>
      <w:r w:rsidR="00F05A30"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Розничная торговля</w:t>
      </w:r>
      <w:bookmarkEnd w:id="7"/>
    </w:p>
    <w:p w:rsidR="00F05A30" w:rsidRPr="008952DA" w:rsidRDefault="00F05A30" w:rsidP="009D5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3FD" w:rsidRPr="008952DA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современных условиях структура и объем потребительского рынка в большей степени зависят как от организации деятельности предприятий розничной торговли, так и структуры спроса платежеспособного населения.</w:t>
      </w:r>
    </w:p>
    <w:p w:rsidR="005603FD" w:rsidRPr="008952DA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Потребительский рынок включает в себя розничную торговлю, общественное питание и сферу услуг.</w:t>
      </w:r>
    </w:p>
    <w:p w:rsidR="005603FD" w:rsidRPr="008952DA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Расчет показателей оборота розничной торговли и объема платных услуг населению выполнен на основе данных статистического учета, а также показателей предприятий и организаций, которые осуществляют свою деятельность в городе Когалыме.</w:t>
      </w:r>
    </w:p>
    <w:p w:rsidR="00A77BEC" w:rsidRPr="008952DA" w:rsidRDefault="00A77BEC" w:rsidP="00A77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итогам 2017 года оборот розничной торговли в городе составил 12 110,8 млн. рублей или 111,2% в сопоставимых ценах к уровню 2016 года. </w:t>
      </w:r>
    </w:p>
    <w:p w:rsidR="00A77BEC" w:rsidRPr="008952DA" w:rsidRDefault="00A77BEC" w:rsidP="00A77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2018 году оборот розничной торговли по оценке составит </w:t>
      </w:r>
      <w:r w:rsidR="00006D1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10</w:t>
      </w:r>
      <w:r w:rsidR="00116EA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006D1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,2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в сопоставимых ценах к уровню 2017 года или </w:t>
      </w:r>
      <w:r w:rsidR="00006D1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12 </w:t>
      </w:r>
      <w:r w:rsidR="00116EA8">
        <w:rPr>
          <w:rFonts w:ascii="Times New Roman" w:eastAsia="Calibri" w:hAnsi="Times New Roman" w:cs="Times New Roman"/>
          <w:sz w:val="26"/>
          <w:szCs w:val="26"/>
          <w:lang w:eastAsia="ru-RU"/>
        </w:rPr>
        <w:t>474</w:t>
      </w:r>
      <w:r w:rsidR="00006D1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,0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рублей. </w:t>
      </w:r>
    </w:p>
    <w:p w:rsidR="00AB1221" w:rsidRPr="008952DA" w:rsidRDefault="00AB1221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603FD" w:rsidRPr="008952DA" w:rsidRDefault="009B7AD0" w:rsidP="009D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62492" cy="4662684"/>
            <wp:effectExtent l="0" t="0" r="0" b="0"/>
            <wp:docPr id="4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258C7" w:rsidRPr="008952DA" w:rsidRDefault="003258C7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603FD" w:rsidRPr="008952DA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расчёте на душу населения оборот розничной торговли в 201</w:t>
      </w:r>
      <w:r w:rsidR="00006D1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составит </w:t>
      </w:r>
      <w:r w:rsidR="000B6C2C">
        <w:rPr>
          <w:rFonts w:ascii="Times New Roman" w:eastAsia="Calibri" w:hAnsi="Times New Roman" w:cs="Times New Roman"/>
          <w:sz w:val="26"/>
          <w:szCs w:val="26"/>
          <w:lang w:eastAsia="ru-RU"/>
        </w:rPr>
        <w:t>186,6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рублей, с последующим ростом </w:t>
      </w:r>
      <w:r w:rsidR="001B438A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1B438A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24 года</w:t>
      </w:r>
      <w:r w:rsidR="0003314C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1 января 2018 торговую сеть составляют: 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- 114 стационарных предприятия розничной торговли. Наиболее крупные из них: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торговый комплекс «Миллениум», «Городской рынок»;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универсам «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Росич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торговые центры «Надежда», «Фламинго», «Лайм», «Планета обувь и одежда», «Салима», открывшийся осенью 2017 года;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спортивно - культурный комплекс «Галактика» с торговой площадью </w:t>
      </w:r>
      <w:r w:rsidR="000B6C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4,4 тыс. кв. м.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- 9 мелкорозничных торговых предприятий;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- 27 аптек, в том числе представлены сетевые аптечные пункты «Бережная аптека», «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Риг</w:t>
      </w:r>
      <w:r w:rsidR="000B6C2C">
        <w:rPr>
          <w:rFonts w:ascii="Times New Roman" w:eastAsia="Calibri" w:hAnsi="Times New Roman" w:cs="Times New Roman"/>
          <w:sz w:val="26"/>
          <w:szCs w:val="26"/>
          <w:lang w:eastAsia="ru-RU"/>
        </w:rPr>
        <w:t>ла</w:t>
      </w:r>
      <w:proofErr w:type="spellEnd"/>
      <w:r w:rsidR="000B6C2C">
        <w:rPr>
          <w:rFonts w:ascii="Times New Roman" w:eastAsia="Calibri" w:hAnsi="Times New Roman" w:cs="Times New Roman"/>
          <w:sz w:val="26"/>
          <w:szCs w:val="26"/>
          <w:lang w:eastAsia="ru-RU"/>
        </w:rPr>
        <w:t>», «Аптека от склада», «</w:t>
      </w:r>
      <w:proofErr w:type="spellStart"/>
      <w:r w:rsidR="000B6C2C">
        <w:rPr>
          <w:rFonts w:ascii="Times New Roman" w:eastAsia="Calibri" w:hAnsi="Times New Roman" w:cs="Times New Roman"/>
          <w:sz w:val="26"/>
          <w:szCs w:val="26"/>
          <w:lang w:eastAsia="ru-RU"/>
        </w:rPr>
        <w:t>Экона</w:t>
      </w:r>
      <w:proofErr w:type="spellEnd"/>
      <w:r w:rsidR="000B6C2C"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Общее количество в отчетном году по отношению к 2016 году увеличилось на 1 предприятие. 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Также в городе функционирует городской рынок, расположенный по адресу: пр. 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Сопочинского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, 2, на 140 торговых мест торговой площадью 1,6 тыс. кв. метров.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торговыми площадями по состоянию на 1 января 2018 года составила 595 кв. метров на 1 000 жителей, что на 3% выше норматива (579 кв. метр на 1 000 жителей).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развитие инфраструктуры потребительского рынка существенное влияние оказывает конкуренция на рынке торговых услуг. За 2017 год в городе открыты (восстановлены) два торговых центра непродовольственных товаров – </w:t>
      </w:r>
      <w:r w:rsidR="00F84830">
        <w:rPr>
          <w:rFonts w:ascii="Times New Roman" w:eastAsia="Calibri" w:hAnsi="Times New Roman" w:cs="Times New Roman"/>
          <w:sz w:val="26"/>
          <w:szCs w:val="26"/>
          <w:lang w:eastAsia="ru-RU"/>
        </w:rPr>
        <w:t>торговый дом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«Салима» площадь торгового зала 915 кв. метров и </w:t>
      </w:r>
      <w:r w:rsidR="00F84830">
        <w:rPr>
          <w:rFonts w:ascii="Times New Roman" w:eastAsia="Calibri" w:hAnsi="Times New Roman" w:cs="Times New Roman"/>
          <w:sz w:val="26"/>
          <w:szCs w:val="26"/>
          <w:lang w:eastAsia="ru-RU"/>
        </w:rPr>
        <w:t>торговый дом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«Орион» площадь торгового зала 800 кв. метров.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это магазин «Магнит», «Райт», «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Лэтуаль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», «Детский мир», «DNS», «Монетка», «Красное и Белое», «Кари», салон «Евросеть» и «Связной», «RBT.ru».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Когалыме – это «Сибирское золото», «585», «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Sela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», «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Юничел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», «Том 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Фарр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», «Серебряный хит».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развита сеть магазинов с небольшой торговой площадью, так называемой «шаговой доступности» (25-75 кв. м торговой площади). Это очень удобно для покупателей, когда в 5 минутах ходьбы от дома можно приобрес</w:t>
      </w:r>
      <w:r w:rsidR="00F84830">
        <w:rPr>
          <w:rFonts w:ascii="Times New Roman" w:eastAsia="Calibri" w:hAnsi="Times New Roman" w:cs="Times New Roman"/>
          <w:sz w:val="26"/>
          <w:szCs w:val="26"/>
          <w:lang w:eastAsia="ru-RU"/>
        </w:rPr>
        <w:t>ти товары первой необходимости.</w:t>
      </w:r>
    </w:p>
    <w:p w:rsidR="005603FD" w:rsidRPr="008952DA" w:rsidRDefault="005603FD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Происходит качественное изменение материально-технической базы предприятий торговой отрасли города – всё больше магазинов переходят на использование современных методов обслуживания и новейших торговых технологий.</w:t>
      </w:r>
    </w:p>
    <w:p w:rsidR="00416CA5" w:rsidRPr="008952DA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функционирует одна постоянно действующая ярмарка (фермерские ряды, реализующие сельскохозяйственную продукцию), а также ярмарки выходного дня (пятница, суббота, воскресенье).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отчетном периоде 2017 года в городе Когалыме проведены запланированные ярмарки: 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- 7 тематических ярмарок-выставок; 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- 9 ярмарок выходного дня, посвященные празднованиям «Проводы Русской зимы 2017», «День оленевода», «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Юнтагор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2017», «День Победы», «День защиты детей», «День России», «День молодёжи России», «День города Когалыма и День работника нефтяной и газовой промышленности» и «День народного единства».</w:t>
      </w:r>
    </w:p>
    <w:p w:rsidR="001B438A" w:rsidRPr="008952DA" w:rsidRDefault="001B438A" w:rsidP="001B4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Дополнительно, в целях расширения межрегиональных партнерских отношений и развития торгово-экономического сотрудничества Администрацией города Когалыма при содействии Департамента агропромышленного комплекса Тюменской области проведены 5 сельскохозяйственных ярмарок тюменских товаропроизводителей. Всего в рамках ярмарок было реализовано 27,8 тонн продукции на сумму 6 219 тыс. рублей (за 2016 год – 5 ярмарок, 50,7 тонн на сумму 9 365,9 тыс. рублей).</w:t>
      </w:r>
    </w:p>
    <w:p w:rsidR="00416CA5" w:rsidRPr="008952DA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2017 году проведена выставка - ярмарка белорусских товаров (продовольственная и промышленные группы товаров).</w:t>
      </w:r>
    </w:p>
    <w:p w:rsidR="00416CA5" w:rsidRPr="008952DA" w:rsidRDefault="00AB1AC9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16CA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</w:t>
      </w:r>
      <w:r w:rsidR="00F84830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416CA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</w:t>
      </w:r>
      <w:r w:rsidR="00F848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416CA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среднесрочной перспективе планируется п</w:t>
      </w:r>
      <w:r w:rsidR="0004320B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родолжить данное сотрудничество.</w:t>
      </w:r>
    </w:p>
    <w:p w:rsidR="005603FD" w:rsidRPr="008952DA" w:rsidRDefault="005603FD" w:rsidP="00DA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Сфера общественного питания в большей степени зависит от роста реальных</w:t>
      </w:r>
      <w:r w:rsidR="00DA163E" w:rsidRPr="008952DA">
        <w:rPr>
          <w:rFonts w:ascii="Times New Roman" w:hAnsi="Times New Roman" w:cs="Times New Roman"/>
          <w:sz w:val="26"/>
          <w:szCs w:val="26"/>
        </w:rPr>
        <w:t xml:space="preserve"> доходов населения. </w:t>
      </w:r>
      <w:r w:rsidR="008B6FB6" w:rsidRPr="008952DA">
        <w:rPr>
          <w:rFonts w:ascii="Times New Roman" w:hAnsi="Times New Roman" w:cs="Times New Roman"/>
          <w:sz w:val="26"/>
          <w:szCs w:val="26"/>
        </w:rPr>
        <w:t>В связи с этим,</w:t>
      </w:r>
      <w:r w:rsidR="00BE3703" w:rsidRPr="008952DA">
        <w:rPr>
          <w:rFonts w:ascii="Times New Roman" w:hAnsi="Times New Roman" w:cs="Times New Roman"/>
          <w:sz w:val="26"/>
          <w:szCs w:val="26"/>
        </w:rPr>
        <w:t xml:space="preserve"> в</w:t>
      </w:r>
      <w:r w:rsidRPr="008952DA">
        <w:rPr>
          <w:rFonts w:ascii="Times New Roman" w:hAnsi="Times New Roman" w:cs="Times New Roman"/>
          <w:sz w:val="26"/>
          <w:szCs w:val="26"/>
        </w:rPr>
        <w:t xml:space="preserve"> условиях сложившейся экономической ситуации, с учетом роста цен на продукты питания</w:t>
      </w:r>
      <w:r w:rsidR="00DA163E" w:rsidRPr="008952DA">
        <w:rPr>
          <w:rFonts w:ascii="Times New Roman" w:hAnsi="Times New Roman" w:cs="Times New Roman"/>
          <w:sz w:val="26"/>
          <w:szCs w:val="26"/>
        </w:rPr>
        <w:t>,</w:t>
      </w:r>
      <w:r w:rsidRPr="008952DA">
        <w:rPr>
          <w:rFonts w:ascii="Times New Roman" w:hAnsi="Times New Roman" w:cs="Times New Roman"/>
          <w:sz w:val="26"/>
          <w:szCs w:val="26"/>
        </w:rPr>
        <w:t xml:space="preserve"> оборот общественного питания в 201</w:t>
      </w:r>
      <w:r w:rsidR="002A65CB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</w:t>
      </w:r>
      <w:r w:rsidR="00DA163E" w:rsidRPr="008952DA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A65CB" w:rsidRPr="008952DA">
        <w:rPr>
          <w:rFonts w:ascii="Times New Roman" w:hAnsi="Times New Roman" w:cs="Times New Roman"/>
          <w:sz w:val="26"/>
          <w:szCs w:val="26"/>
        </w:rPr>
        <w:t>3 052,1</w:t>
      </w:r>
      <w:r w:rsidR="00DA163E" w:rsidRPr="008952DA">
        <w:rPr>
          <w:rFonts w:ascii="Times New Roman" w:hAnsi="Times New Roman" w:cs="Times New Roman"/>
          <w:sz w:val="26"/>
          <w:szCs w:val="26"/>
        </w:rPr>
        <w:t xml:space="preserve"> млн. рублей (</w:t>
      </w:r>
      <w:r w:rsidR="002A65CB" w:rsidRPr="008952DA">
        <w:rPr>
          <w:rFonts w:ascii="Times New Roman" w:hAnsi="Times New Roman" w:cs="Times New Roman"/>
          <w:sz w:val="26"/>
          <w:szCs w:val="26"/>
        </w:rPr>
        <w:t>101</w:t>
      </w:r>
      <w:r w:rsidR="00DA163E" w:rsidRPr="008952DA">
        <w:rPr>
          <w:rFonts w:ascii="Times New Roman" w:hAnsi="Times New Roman" w:cs="Times New Roman"/>
          <w:sz w:val="26"/>
          <w:szCs w:val="26"/>
        </w:rPr>
        <w:t xml:space="preserve">% в </w:t>
      </w:r>
      <w:r w:rsidR="002A65CB" w:rsidRPr="008952DA">
        <w:rPr>
          <w:rFonts w:ascii="Times New Roman" w:hAnsi="Times New Roman" w:cs="Times New Roman"/>
          <w:sz w:val="26"/>
          <w:szCs w:val="26"/>
        </w:rPr>
        <w:t>сопоставимых ценах к уровню 2016 года). В 2018</w:t>
      </w:r>
      <w:r w:rsidR="00DA163E" w:rsidRPr="008952DA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8952DA">
        <w:rPr>
          <w:rFonts w:ascii="Times New Roman" w:hAnsi="Times New Roman" w:cs="Times New Roman"/>
          <w:sz w:val="26"/>
          <w:szCs w:val="26"/>
        </w:rPr>
        <w:t xml:space="preserve"> по оценке </w:t>
      </w:r>
      <w:r w:rsidR="00DA163E" w:rsidRPr="008952DA">
        <w:rPr>
          <w:rFonts w:ascii="Times New Roman" w:hAnsi="Times New Roman" w:cs="Times New Roman"/>
          <w:sz w:val="26"/>
          <w:szCs w:val="26"/>
        </w:rPr>
        <w:t xml:space="preserve">оборот </w:t>
      </w:r>
      <w:r w:rsidRPr="008952DA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2A65CB" w:rsidRPr="008952DA">
        <w:rPr>
          <w:rFonts w:ascii="Times New Roman" w:hAnsi="Times New Roman" w:cs="Times New Roman"/>
          <w:sz w:val="26"/>
          <w:szCs w:val="26"/>
        </w:rPr>
        <w:t>100,2</w:t>
      </w:r>
      <w:r w:rsidRPr="008952DA">
        <w:rPr>
          <w:rFonts w:ascii="Times New Roman" w:hAnsi="Times New Roman" w:cs="Times New Roman"/>
          <w:sz w:val="26"/>
          <w:szCs w:val="26"/>
        </w:rPr>
        <w:t>% в сопоставимых ценах к уровню 201</w:t>
      </w:r>
      <w:r w:rsidR="002A65CB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года или </w:t>
      </w:r>
      <w:r w:rsidR="00810711" w:rsidRPr="008952DA">
        <w:rPr>
          <w:rFonts w:ascii="Times New Roman" w:hAnsi="Times New Roman" w:cs="Times New Roman"/>
          <w:sz w:val="26"/>
          <w:szCs w:val="26"/>
        </w:rPr>
        <w:t>3 180,3</w:t>
      </w:r>
      <w:r w:rsidR="00BE3703" w:rsidRPr="008952DA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DA163E" w:rsidRPr="008952DA">
        <w:rPr>
          <w:rFonts w:ascii="Times New Roman" w:hAnsi="Times New Roman" w:cs="Times New Roman"/>
          <w:sz w:val="26"/>
          <w:szCs w:val="26"/>
        </w:rPr>
        <w:t xml:space="preserve">. В расчете </w:t>
      </w:r>
      <w:r w:rsidRPr="008952DA">
        <w:rPr>
          <w:rFonts w:ascii="Times New Roman" w:hAnsi="Times New Roman" w:cs="Times New Roman"/>
          <w:sz w:val="26"/>
          <w:szCs w:val="26"/>
        </w:rPr>
        <w:t>на душу населения оборот общественного питания в городе в 201</w:t>
      </w:r>
      <w:r w:rsidR="00810711" w:rsidRPr="008952DA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810711" w:rsidRPr="008952DA">
        <w:rPr>
          <w:rFonts w:ascii="Times New Roman" w:hAnsi="Times New Roman" w:cs="Times New Roman"/>
          <w:sz w:val="26"/>
          <w:szCs w:val="26"/>
        </w:rPr>
        <w:t>47,</w:t>
      </w:r>
      <w:r w:rsidR="00F84830">
        <w:rPr>
          <w:rFonts w:ascii="Times New Roman" w:hAnsi="Times New Roman" w:cs="Times New Roman"/>
          <w:sz w:val="26"/>
          <w:szCs w:val="26"/>
        </w:rPr>
        <w:t>6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рублей (в 201</w:t>
      </w:r>
      <w:r w:rsidR="00810711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810711" w:rsidRPr="008952DA">
        <w:rPr>
          <w:rFonts w:ascii="Times New Roman" w:hAnsi="Times New Roman" w:cs="Times New Roman"/>
          <w:sz w:val="26"/>
          <w:szCs w:val="26"/>
        </w:rPr>
        <w:t>46,5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5603FD" w:rsidRPr="008952DA" w:rsidRDefault="00810711" w:rsidP="008107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9790" cy="3406140"/>
            <wp:effectExtent l="0" t="0" r="0" b="0"/>
            <wp:docPr id="14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7AD0" w:rsidRPr="008952DA" w:rsidRDefault="009B7AD0" w:rsidP="009B7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3FD" w:rsidRPr="008952DA" w:rsidRDefault="005603F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прогнозном периоде оборот общественного питания будет иметь положительную динамику с ростом до </w:t>
      </w:r>
      <w:r w:rsidR="00EB5814">
        <w:rPr>
          <w:rFonts w:ascii="Times New Roman" w:eastAsia="Calibri" w:hAnsi="Times New Roman" w:cs="Times New Roman"/>
          <w:sz w:val="26"/>
          <w:szCs w:val="26"/>
          <w:lang w:eastAsia="ru-RU"/>
        </w:rPr>
        <w:t>101,7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в 20</w:t>
      </w:r>
      <w:r w:rsidR="0081071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</w:t>
      </w:r>
      <w:r w:rsidR="000A4D6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базовому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варианту</w:t>
      </w:r>
      <w:r w:rsidR="000A4D6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до </w:t>
      </w:r>
      <w:r w:rsidR="0081071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103,5</w:t>
      </w:r>
      <w:r w:rsidR="000A4D6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по целевому варианту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Этому будет способствовать стабилизация цен на продовольственные товары, </w:t>
      </w:r>
      <w:r w:rsidR="000A4D65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также постепенный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рост доходов населения.</w:t>
      </w:r>
    </w:p>
    <w:p w:rsidR="00810711" w:rsidRPr="008952DA" w:rsidRDefault="00810711" w:rsidP="00810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01.01.2018 в городе Когалыме осуществляют свою деятельность 127 предприятий общественного питания, общим количеством посадочных мест 5 729, что на 10 предприятий больше чем в 2016 году. Из них 66 предприятий общедоступной сети на 2 253 посадочных мест</w:t>
      </w:r>
      <w:r w:rsidR="00EB5814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, в 2016 году общедоступных предприятий общественного питания - 56.</w:t>
      </w:r>
    </w:p>
    <w:p w:rsidR="00810711" w:rsidRPr="008952DA" w:rsidRDefault="00810711" w:rsidP="00810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посадочными местами на предприятиях общественного питания общедоступной сети в городе Когалыме составила 86% от норматива, при нормативе 40 мест на одну тысячу жителей, в 2016 году 79% при аналогичном нормативе.</w:t>
      </w:r>
    </w:p>
    <w:p w:rsidR="0036104D" w:rsidRPr="008952DA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более полного удовлетворения потребностей населения города в услугах, оказываемых предприятиями общественного питания, в городе </w:t>
      </w:r>
      <w:r w:rsidR="00EB581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продолжают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развиваться услуги дополнительного сервиса по предоставлению услуг общественного питания:</w:t>
      </w:r>
    </w:p>
    <w:p w:rsidR="0036104D" w:rsidRPr="008952DA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доставка блюд и кулинарной продукции по заказам потребителей;</w:t>
      </w:r>
    </w:p>
    <w:p w:rsidR="0036104D" w:rsidRPr="008952DA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обеспечение офисов различных предприятий горячими обедами, заказ которых может осуществляться через информационно - телекоммуникационную сеть «Интернет» или по телефону;</w:t>
      </w:r>
    </w:p>
    <w:p w:rsidR="0036104D" w:rsidRPr="008952DA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и обеспечение диетическим питанием рабочих и служащих.</w:t>
      </w:r>
    </w:p>
    <w:p w:rsidR="005F31BD" w:rsidRPr="008952DA" w:rsidRDefault="005F31B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B7AD0" w:rsidRPr="008952DA" w:rsidRDefault="002A3C4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498075897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4.2. </w:t>
      </w:r>
      <w:r w:rsidR="009B7AD0"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Платные услуги</w:t>
      </w:r>
      <w:bookmarkEnd w:id="8"/>
    </w:p>
    <w:p w:rsidR="009B7AD0" w:rsidRPr="008952DA" w:rsidRDefault="009B7AD0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03FD" w:rsidRPr="008952DA" w:rsidRDefault="005603FD" w:rsidP="005B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За 201</w:t>
      </w:r>
      <w:r w:rsidR="0081071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населению города оказано платных услуг по всем каналам реализации на сумму </w:t>
      </w:r>
      <w:r w:rsidR="0081071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3 616,4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6905D7">
        <w:rPr>
          <w:rFonts w:ascii="Times New Roman" w:eastAsia="Calibri" w:hAnsi="Times New Roman" w:cs="Times New Roman"/>
          <w:sz w:val="26"/>
          <w:szCs w:val="26"/>
          <w:lang w:eastAsia="ru-RU"/>
        </w:rPr>
        <w:t>100,9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81071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сопоставимых ценах.</w:t>
      </w:r>
    </w:p>
    <w:p w:rsidR="009B7AD0" w:rsidRPr="008952DA" w:rsidRDefault="005603FD" w:rsidP="005B5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201</w:t>
      </w:r>
      <w:r w:rsidR="00810711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объем платных услуг во всех секторах реализации, оказываемых населению услуг, </w:t>
      </w:r>
      <w:r w:rsidR="00752ADE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оценке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составит </w:t>
      </w:r>
      <w:r w:rsidR="005B59A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3 764,7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5B59A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100,1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5B59A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среднесрочной перспективе </w:t>
      </w:r>
      <w:r w:rsidR="00752ADE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ежегодный те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мп роста объема платных услуг </w:t>
      </w:r>
      <w:r w:rsidR="00752ADE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среднем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составит </w:t>
      </w:r>
      <w:r w:rsidR="007F2263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5B59A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102%</w:t>
      </w:r>
      <w:r w:rsidR="007F2263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</w:t>
      </w:r>
      <w:r w:rsidR="005B59A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2024 году</w:t>
      </w:r>
      <w:r w:rsidR="007F2263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5B59A8" w:rsidRPr="008952DA" w:rsidRDefault="005B59A8" w:rsidP="005B5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B7AD0" w:rsidRPr="008952DA" w:rsidRDefault="009B7AD0" w:rsidP="00EF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53125" cy="4086225"/>
            <wp:effectExtent l="0" t="0" r="0" b="0"/>
            <wp:docPr id="6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03FD" w:rsidRPr="008952DA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прогнозном периоде услуги обязательного характера: жилищно-коммунальные и услуги связи останутся наиболее востребованными, их удельный вес в общем объеме платных услуг, реализованных населению, составит </w:t>
      </w:r>
      <w:r w:rsidR="00534833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более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70,0%.</w:t>
      </w:r>
    </w:p>
    <w:p w:rsidR="005603FD" w:rsidRPr="008952DA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Сохраняющейся положительной динамике предоставления услуг связи будет способствовать повышение качества предоставляемых услуг, реформирование почтовой связи, внедрение новых форм обслуживания населения. Рост социальной активности населения оказывает положительное влияние на более ин</w:t>
      </w:r>
      <w:r w:rsidR="00B74A48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тенсивный информационный обмен.</w:t>
      </w:r>
    </w:p>
    <w:p w:rsidR="003258C7" w:rsidRPr="008952DA" w:rsidRDefault="005603FD" w:rsidP="0032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Общими тенденциями развития рынка услуг учреждений культуры, физической культуры и спорта остаются </w:t>
      </w:r>
      <w:r w:rsidR="00011E83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повышение качества оказываемых услуг</w:t>
      </w:r>
      <w:r w:rsidR="00011E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011E83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про</w:t>
      </w:r>
      <w:r w:rsidR="00011E83">
        <w:rPr>
          <w:rFonts w:ascii="Times New Roman" w:eastAsia="Calibri" w:hAnsi="Times New Roman" w:cs="Times New Roman"/>
          <w:sz w:val="26"/>
          <w:szCs w:val="26"/>
          <w:lang w:eastAsia="ru-RU"/>
        </w:rPr>
        <w:t>паганда здорового образа жизни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A41A5" w:rsidRPr="008952DA" w:rsidRDefault="008A41A5" w:rsidP="008A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сформирован и развивается рынок бытовых услуг населению. По состоянию на 01.01.2018 в городе функционирует 37 объектов, в которых 39 предпринимателей оказывают населению города бытовые услуги.</w:t>
      </w:r>
    </w:p>
    <w:p w:rsidR="008A41A5" w:rsidRPr="008952DA" w:rsidRDefault="008A41A5" w:rsidP="008A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Наиболее востребованными населением видами бытовых услуг остаются:</w:t>
      </w:r>
    </w:p>
    <w:p w:rsidR="008A41A5" w:rsidRPr="008952DA" w:rsidRDefault="008A41A5" w:rsidP="008A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парикмахерские услуги;</w:t>
      </w:r>
    </w:p>
    <w:p w:rsidR="008A41A5" w:rsidRPr="008952DA" w:rsidRDefault="008A41A5" w:rsidP="008A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ремонт и пошив обуви, швейных изделий;</w:t>
      </w:r>
    </w:p>
    <w:p w:rsidR="008A41A5" w:rsidRPr="008952DA" w:rsidRDefault="008A41A5" w:rsidP="008A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банно-оздоровительные услуги.</w:t>
      </w:r>
    </w:p>
    <w:p w:rsidR="003258C7" w:rsidRPr="008952DA" w:rsidRDefault="003258C7" w:rsidP="0032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Главной задачей для предприятий, оказывающих услуги населению, является качественное обслуживание и мастерство персонала. В условиях конкуренции, предприятия уделяют особое внимание совершенствованию технологических процессов: использованию современных технологий, оборудования, качественных материалов, повышению квалификации персонала.</w:t>
      </w:r>
    </w:p>
    <w:p w:rsidR="002A2588" w:rsidRDefault="005603FD" w:rsidP="008D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целом, ситуация на рынке платных услуг остается стабильной. Повышение денежных доходов населения будет способствовать сохранению объема предоставляемых услуг, динамичному развитию и здоровой конкуренции в данной сфере.</w:t>
      </w:r>
    </w:p>
    <w:p w:rsidR="006414F9" w:rsidRPr="008952DA" w:rsidRDefault="006414F9" w:rsidP="008D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B7AD0" w:rsidRPr="008952DA" w:rsidRDefault="002A3C4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9" w:name="_Toc498075898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4.3. </w:t>
      </w:r>
      <w:r w:rsidR="009B7AD0"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Агропромышленный комплекс</w:t>
      </w:r>
      <w:bookmarkEnd w:id="9"/>
    </w:p>
    <w:p w:rsidR="009B7AD0" w:rsidRPr="008952DA" w:rsidRDefault="009B7AD0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6"/>
        </w:rPr>
      </w:pPr>
    </w:p>
    <w:p w:rsidR="008A41A5" w:rsidRPr="008952DA" w:rsidRDefault="008A41A5" w:rsidP="008A41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Производство сельскохозяйственной продукции в городе Когалыме осуществляют 8 крестьянских (фермерских) хозяйств. Основное направление деятельности данных хозяйств – животноводство, связанное с разведением крупного и мелкого рогатого скота, свиней и птицы.</w:t>
      </w:r>
    </w:p>
    <w:p w:rsidR="0084533C" w:rsidRPr="008952DA" w:rsidRDefault="0084533C" w:rsidP="008453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объеме продукции сельского хозяйства в стоимостном выражении </w:t>
      </w:r>
      <w:r w:rsidR="000A788D" w:rsidRPr="008952DA">
        <w:rPr>
          <w:rFonts w:ascii="Times New Roman" w:hAnsi="Times New Roman" w:cs="Times New Roman"/>
          <w:sz w:val="26"/>
          <w:szCs w:val="26"/>
        </w:rPr>
        <w:t>в 2017 году животноводство занимает 69,4</w:t>
      </w:r>
      <w:r w:rsidRPr="008952DA">
        <w:rPr>
          <w:rFonts w:ascii="Times New Roman" w:hAnsi="Times New Roman" w:cs="Times New Roman"/>
          <w:sz w:val="26"/>
          <w:szCs w:val="26"/>
        </w:rPr>
        <w:t xml:space="preserve">%, растениеводство – </w:t>
      </w:r>
      <w:r w:rsidR="000A788D" w:rsidRPr="008952DA">
        <w:rPr>
          <w:rFonts w:ascii="Times New Roman" w:hAnsi="Times New Roman" w:cs="Times New Roman"/>
          <w:sz w:val="26"/>
          <w:szCs w:val="26"/>
        </w:rPr>
        <w:t>30,6</w:t>
      </w:r>
      <w:r w:rsidRPr="008952DA">
        <w:rPr>
          <w:rFonts w:ascii="Times New Roman" w:hAnsi="Times New Roman" w:cs="Times New Roman"/>
          <w:sz w:val="26"/>
          <w:szCs w:val="26"/>
        </w:rPr>
        <w:t>%. Основными отраслями животноводства являются разведение крупного, мелкого рогатого скота, свиней и птицы.</w:t>
      </w:r>
    </w:p>
    <w:p w:rsidR="0084533C" w:rsidRPr="008952DA" w:rsidRDefault="000A788D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За 2017</w:t>
      </w:r>
      <w:r w:rsidR="00F304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</w:t>
      </w:r>
      <w:r w:rsidR="0084533C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наблюдается положительная динамика развития агропромышленного комплекса в городе Когалыме, это отражается следующими показателями:</w:t>
      </w:r>
    </w:p>
    <w:p w:rsidR="0084533C" w:rsidRPr="008952DA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м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яса в живом весе составило 195,0 тонн, что выше на 0,2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объема аналогично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го периода прошлого года (в 2016 году – 194,8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тонн);</w:t>
      </w:r>
    </w:p>
    <w:p w:rsidR="0084533C" w:rsidRPr="008952DA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пр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оизводство молока составило 91,6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тонн, что выше на 0,1% объема аналогичного периода п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рошлого года (в 2015 году – 91,5 тонн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);</w:t>
      </w:r>
    </w:p>
    <w:p w:rsidR="0084533C" w:rsidRPr="008952DA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поголовье крупного и мелкого рогатого скота в городе Когалыме в отчетном периоде составило 139 голов или 100,7% к значению аналогичного периода прошлого года (в 2016 году – 138 голов);</w:t>
      </w:r>
    </w:p>
    <w:p w:rsidR="0084533C" w:rsidRPr="008952DA" w:rsidRDefault="0084533C" w:rsidP="006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поголовье свиней – 453 головы, что на 522 головы меньше аналогичного периода прошлого года (2016 год - 975 голов). Значительное уменьшение поголовья свиней связано с забоем с/х животных в КФХ </w:t>
      </w:r>
      <w:proofErr w:type="spellStart"/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Шиманского</w:t>
      </w:r>
      <w:proofErr w:type="spellEnd"/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В.М. с целью </w:t>
      </w:r>
      <w:r w:rsidR="00F30499">
        <w:rPr>
          <w:rFonts w:ascii="Times New Roman" w:eastAsia="Calibri" w:hAnsi="Times New Roman" w:cs="Times New Roman"/>
          <w:sz w:val="26"/>
          <w:szCs w:val="26"/>
          <w:lang w:eastAsia="ru-RU"/>
        </w:rPr>
        <w:t>обновления породы свиней. В 2018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фермер </w:t>
      </w:r>
      <w:r w:rsidR="006B2B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планирует увеличить </w:t>
      </w:r>
      <w:r w:rsidR="000A788D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разведение крупного рогатого скота и производство молока.</w:t>
      </w:r>
    </w:p>
    <w:p w:rsidR="000A788D" w:rsidRPr="008952DA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поддержки и развития сельскохозяйственного производства в городе Когалыме, постановлением Администрации города от 11.10.2013 №2900 утверждена муниципальная программа «Развитие агропромышленного комплекса и рынков сельскохозяйственной продукции, сырья и продовольствия в городе Когалыме» (далее - муниципальная программа), в которой прописан Порядок предоставления муниципальной финансовой поддержки развития сельскохозяйственного производства.</w:t>
      </w:r>
    </w:p>
    <w:p w:rsidR="000A788D" w:rsidRPr="008952DA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 или занимающимся садоводством, огородничеством, животноводством осуществлять продажу собственной продукции на территории города Когалыма с получением муниципальной финансовой поддержки.</w:t>
      </w:r>
    </w:p>
    <w:p w:rsidR="000A788D" w:rsidRPr="008952DA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Вышеуказанным Порядком определены условия, порядок предоставления и возврата, контроль и ответственность за предоставлением муниципальной поддержки в виде субсидии в целях возмещения затрат, связанных с реализацией сельскохозяйственной продукции на территории города Когалыма (арендная плата за торговые места).</w:t>
      </w:r>
    </w:p>
    <w:p w:rsidR="000A788D" w:rsidRPr="008952DA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2017 году общий объем финансирования на развитие агропромышленного комплекса, в рамках муниципальной программы, составл</w:t>
      </w:r>
      <w:r w:rsidR="00EC4F2B">
        <w:rPr>
          <w:rFonts w:ascii="Times New Roman" w:eastAsia="Calibri" w:hAnsi="Times New Roman" w:cs="Times New Roman"/>
          <w:sz w:val="26"/>
          <w:szCs w:val="26"/>
          <w:lang w:eastAsia="ru-RU"/>
        </w:rPr>
        <w:t>ял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4 670,9 тыс. рублей, из них:</w:t>
      </w:r>
    </w:p>
    <w:p w:rsidR="000A788D" w:rsidRPr="008952DA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- 2 715,40 тыс. рублей - бюджет Ханты-Мансийского автономного округа – Югры;</w:t>
      </w:r>
    </w:p>
    <w:p w:rsidR="000A788D" w:rsidRPr="008952DA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- 1 955,50 тыс. рублей – средства бюджета города Когалыма.</w:t>
      </w:r>
    </w:p>
    <w:p w:rsidR="000A788D" w:rsidRPr="008952DA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состоянию на 01.01.2018 денежные средства освоены </w:t>
      </w:r>
      <w:r w:rsidR="00910C6A">
        <w:rPr>
          <w:rFonts w:ascii="Times New Roman" w:eastAsia="Calibri" w:hAnsi="Times New Roman" w:cs="Times New Roman"/>
          <w:sz w:val="26"/>
          <w:szCs w:val="26"/>
          <w:lang w:eastAsia="ru-RU"/>
        </w:rPr>
        <w:t>на 98,7%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14EDC" w:rsidRPr="008952DA" w:rsidRDefault="009B7AD0" w:rsidP="009C3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По оценке, в 201</w:t>
      </w:r>
      <w:r w:rsidR="000A788D" w:rsidRPr="008952DA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производство продукции сельского хозяйства в хозяйствах всех категорий составит </w:t>
      </w:r>
      <w:r w:rsidR="00EC4F2B">
        <w:rPr>
          <w:rFonts w:ascii="Times New Roman" w:hAnsi="Times New Roman" w:cs="Times New Roman"/>
          <w:sz w:val="26"/>
          <w:szCs w:val="26"/>
        </w:rPr>
        <w:t>63,2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EC4F2B">
        <w:rPr>
          <w:rFonts w:ascii="Times New Roman" w:hAnsi="Times New Roman" w:cs="Times New Roman"/>
          <w:sz w:val="26"/>
          <w:szCs w:val="26"/>
        </w:rPr>
        <w:t>99,5</w:t>
      </w:r>
      <w:r w:rsidRPr="008952DA">
        <w:rPr>
          <w:rFonts w:ascii="Times New Roman" w:hAnsi="Times New Roman" w:cs="Times New Roman"/>
          <w:sz w:val="26"/>
          <w:szCs w:val="26"/>
        </w:rPr>
        <w:t>% в сопоставимых ценах к уровню 201</w:t>
      </w:r>
      <w:r w:rsidR="000A788D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года.</w:t>
      </w:r>
      <w:r w:rsidR="009C354D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B14EDC" w:rsidRPr="008952DA">
        <w:rPr>
          <w:rFonts w:ascii="Times New Roman" w:hAnsi="Times New Roman" w:cs="Times New Roman"/>
          <w:sz w:val="26"/>
          <w:szCs w:val="26"/>
        </w:rPr>
        <w:t>В прогнозном периоде</w:t>
      </w:r>
      <w:r w:rsidR="002A41D0" w:rsidRPr="008952DA">
        <w:rPr>
          <w:rFonts w:ascii="Times New Roman" w:hAnsi="Times New Roman" w:cs="Times New Roman"/>
          <w:sz w:val="26"/>
          <w:szCs w:val="26"/>
        </w:rPr>
        <w:t>,</w:t>
      </w:r>
      <w:r w:rsidR="00B14EDC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0A788D" w:rsidRPr="008952DA">
        <w:rPr>
          <w:rFonts w:ascii="Times New Roman" w:hAnsi="Times New Roman" w:cs="Times New Roman"/>
          <w:sz w:val="26"/>
          <w:szCs w:val="26"/>
        </w:rPr>
        <w:t>к 2024</w:t>
      </w:r>
      <w:r w:rsidR="00296AAA" w:rsidRPr="008952DA">
        <w:rPr>
          <w:rFonts w:ascii="Times New Roman" w:hAnsi="Times New Roman" w:cs="Times New Roman"/>
          <w:sz w:val="26"/>
          <w:szCs w:val="26"/>
        </w:rPr>
        <w:t xml:space="preserve"> году</w:t>
      </w:r>
      <w:r w:rsidR="002A41D0" w:rsidRPr="008952DA">
        <w:rPr>
          <w:rFonts w:ascii="Times New Roman" w:hAnsi="Times New Roman" w:cs="Times New Roman"/>
          <w:sz w:val="26"/>
          <w:szCs w:val="26"/>
        </w:rPr>
        <w:t>,</w:t>
      </w:r>
      <w:r w:rsidR="00296AAA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B14EDC" w:rsidRPr="008952DA">
        <w:rPr>
          <w:rFonts w:ascii="Times New Roman" w:hAnsi="Times New Roman" w:cs="Times New Roman"/>
          <w:sz w:val="26"/>
          <w:szCs w:val="26"/>
        </w:rPr>
        <w:t>ожидается увеличение производства молока до 0,</w:t>
      </w:r>
      <w:r w:rsidR="00B34999" w:rsidRPr="008952DA">
        <w:rPr>
          <w:rFonts w:ascii="Times New Roman" w:hAnsi="Times New Roman" w:cs="Times New Roman"/>
          <w:sz w:val="26"/>
          <w:szCs w:val="26"/>
        </w:rPr>
        <w:t>09</w:t>
      </w:r>
      <w:r w:rsidR="00EC4F2B">
        <w:rPr>
          <w:rFonts w:ascii="Times New Roman" w:hAnsi="Times New Roman" w:cs="Times New Roman"/>
          <w:sz w:val="26"/>
          <w:szCs w:val="26"/>
        </w:rPr>
        <w:t>4</w:t>
      </w:r>
      <w:r w:rsidR="00B14EDC" w:rsidRPr="008952DA">
        <w:rPr>
          <w:rFonts w:ascii="Times New Roman" w:hAnsi="Times New Roman" w:cs="Times New Roman"/>
          <w:sz w:val="26"/>
          <w:szCs w:val="26"/>
        </w:rPr>
        <w:t xml:space="preserve"> тыс. тонн, мяса – до 0,</w:t>
      </w:r>
      <w:r w:rsidR="00C00652" w:rsidRPr="008952DA">
        <w:rPr>
          <w:rFonts w:ascii="Times New Roman" w:hAnsi="Times New Roman" w:cs="Times New Roman"/>
          <w:sz w:val="26"/>
          <w:szCs w:val="26"/>
        </w:rPr>
        <w:t>197</w:t>
      </w:r>
      <w:r w:rsidR="002A41D0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B14EDC" w:rsidRPr="008952DA">
        <w:rPr>
          <w:rFonts w:ascii="Times New Roman" w:hAnsi="Times New Roman" w:cs="Times New Roman"/>
          <w:sz w:val="26"/>
          <w:szCs w:val="26"/>
        </w:rPr>
        <w:t xml:space="preserve">тыс. тонн по </w:t>
      </w:r>
      <w:r w:rsidR="00B34999" w:rsidRPr="008952DA">
        <w:rPr>
          <w:rFonts w:ascii="Times New Roman" w:hAnsi="Times New Roman" w:cs="Times New Roman"/>
          <w:sz w:val="26"/>
          <w:szCs w:val="26"/>
        </w:rPr>
        <w:t>базовому</w:t>
      </w:r>
      <w:r w:rsidR="00B14EDC" w:rsidRPr="008952DA">
        <w:rPr>
          <w:rFonts w:ascii="Times New Roman" w:hAnsi="Times New Roman" w:cs="Times New Roman"/>
          <w:sz w:val="26"/>
          <w:szCs w:val="26"/>
        </w:rPr>
        <w:t xml:space="preserve"> варианту</w:t>
      </w:r>
      <w:r w:rsidR="00C00652" w:rsidRPr="008952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7AD0" w:rsidRPr="008952DA" w:rsidRDefault="002248E9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20</w:t>
      </w:r>
      <w:r w:rsidR="00C00652" w:rsidRPr="008952DA">
        <w:rPr>
          <w:rFonts w:ascii="Times New Roman" w:hAnsi="Times New Roman" w:cs="Times New Roman"/>
          <w:sz w:val="26"/>
          <w:szCs w:val="26"/>
        </w:rPr>
        <w:t>24</w:t>
      </w:r>
      <w:r w:rsidR="009B7AD0" w:rsidRPr="008952DA">
        <w:rPr>
          <w:rFonts w:ascii="Times New Roman" w:hAnsi="Times New Roman" w:cs="Times New Roman"/>
          <w:sz w:val="26"/>
          <w:szCs w:val="26"/>
        </w:rPr>
        <w:t xml:space="preserve"> году производство продукции сельского хозяйства во всех категориях хозяйств по </w:t>
      </w:r>
      <w:r w:rsidR="007448BF" w:rsidRPr="008952DA">
        <w:rPr>
          <w:rFonts w:ascii="Times New Roman" w:hAnsi="Times New Roman" w:cs="Times New Roman"/>
          <w:sz w:val="26"/>
          <w:szCs w:val="26"/>
        </w:rPr>
        <w:t>базовому</w:t>
      </w:r>
      <w:r w:rsidR="009B7AD0" w:rsidRPr="008952DA">
        <w:rPr>
          <w:rFonts w:ascii="Times New Roman" w:hAnsi="Times New Roman" w:cs="Times New Roman"/>
          <w:sz w:val="26"/>
          <w:szCs w:val="26"/>
        </w:rPr>
        <w:t xml:space="preserve"> варианту </w:t>
      </w:r>
      <w:r w:rsidR="009B7AD0" w:rsidRPr="00636C7D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636C7D" w:rsidRPr="00636C7D">
        <w:rPr>
          <w:rFonts w:ascii="Times New Roman" w:hAnsi="Times New Roman" w:cs="Times New Roman"/>
          <w:sz w:val="26"/>
          <w:szCs w:val="26"/>
        </w:rPr>
        <w:t>составит</w:t>
      </w:r>
      <w:r w:rsidR="009B7AD0" w:rsidRPr="00636C7D">
        <w:rPr>
          <w:rFonts w:ascii="Times New Roman" w:hAnsi="Times New Roman" w:cs="Times New Roman"/>
          <w:sz w:val="26"/>
          <w:szCs w:val="26"/>
        </w:rPr>
        <w:t xml:space="preserve"> </w:t>
      </w:r>
      <w:r w:rsidR="00636C7D" w:rsidRPr="00636C7D">
        <w:rPr>
          <w:rFonts w:ascii="Times New Roman" w:hAnsi="Times New Roman" w:cs="Times New Roman"/>
          <w:sz w:val="26"/>
          <w:szCs w:val="26"/>
        </w:rPr>
        <w:t>74,4</w:t>
      </w:r>
      <w:r w:rsidR="00C00652" w:rsidRPr="00636C7D">
        <w:rPr>
          <w:rFonts w:ascii="Times New Roman" w:hAnsi="Times New Roman" w:cs="Times New Roman"/>
          <w:sz w:val="26"/>
          <w:szCs w:val="26"/>
        </w:rPr>
        <w:t xml:space="preserve"> </w:t>
      </w:r>
      <w:r w:rsidR="009B7AD0" w:rsidRPr="00636C7D">
        <w:rPr>
          <w:rFonts w:ascii="Times New Roman" w:hAnsi="Times New Roman" w:cs="Times New Roman"/>
          <w:sz w:val="26"/>
          <w:szCs w:val="26"/>
        </w:rPr>
        <w:t>млн. рублей (</w:t>
      </w:r>
      <w:r w:rsidR="00636C7D">
        <w:rPr>
          <w:rFonts w:ascii="Times New Roman" w:hAnsi="Times New Roman" w:cs="Times New Roman"/>
          <w:sz w:val="26"/>
          <w:szCs w:val="26"/>
        </w:rPr>
        <w:t>117,8</w:t>
      </w:r>
      <w:r w:rsidR="00334E74" w:rsidRPr="008952DA">
        <w:rPr>
          <w:rFonts w:ascii="Times New Roman" w:hAnsi="Times New Roman" w:cs="Times New Roman"/>
          <w:sz w:val="26"/>
          <w:szCs w:val="26"/>
        </w:rPr>
        <w:t>% к уровню 201</w:t>
      </w:r>
      <w:r w:rsidR="00C00652" w:rsidRPr="008952DA">
        <w:rPr>
          <w:rFonts w:ascii="Times New Roman" w:hAnsi="Times New Roman" w:cs="Times New Roman"/>
          <w:sz w:val="26"/>
          <w:szCs w:val="26"/>
        </w:rPr>
        <w:t>8</w:t>
      </w:r>
      <w:r w:rsidR="009B7AD0" w:rsidRPr="008952DA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2A41D0" w:rsidRPr="008952DA">
        <w:rPr>
          <w:rFonts w:ascii="Times New Roman" w:hAnsi="Times New Roman" w:cs="Times New Roman"/>
          <w:sz w:val="26"/>
          <w:szCs w:val="26"/>
        </w:rPr>
        <w:t>действующих ценах</w:t>
      </w:r>
      <w:r w:rsidR="009B7AD0" w:rsidRPr="008952DA">
        <w:rPr>
          <w:rFonts w:ascii="Times New Roman" w:hAnsi="Times New Roman" w:cs="Times New Roman"/>
          <w:sz w:val="26"/>
          <w:szCs w:val="26"/>
        </w:rPr>
        <w:t>).</w:t>
      </w:r>
    </w:p>
    <w:p w:rsidR="00FF51B9" w:rsidRPr="008952DA" w:rsidRDefault="00FF51B9" w:rsidP="005B3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5A30" w:rsidRPr="008952DA" w:rsidRDefault="00BF0565" w:rsidP="005B312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0" w:name="_Toc498075899"/>
      <w:r w:rsidRPr="008952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5. УРОВЕНЬ ЖИЗНИ НАСЕЛЕНИЯ</w:t>
      </w:r>
      <w:bookmarkEnd w:id="10"/>
    </w:p>
    <w:p w:rsidR="009D50D6" w:rsidRPr="008952DA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Стабильность уровня жизни населения города Когалыма будет обеспечиваться, прежде всего, перспективами развития экономики, ёмкостью рынка труда, уровнем заработной платы и мерами социальной поддержки. 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перспективе сохранится тенденция роста среднемесячной заработной платы как основного источника в структуре доходов населения (около 80%). Вместе с тем рост номинальной начисленной заработной платы будет адекватен реальной финансовой ситуации работодателей.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оценке размер номинальной заработной платы в 2018 году составит 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65,5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 рублей (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102,1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2017 года), в среднесрочной перспективе прогнозируется показатель на уровне: 103,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в 2019 году, 10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в 2024 году по базовому варианту.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Система мер социальной поддержки, выплата стипендий, региональных надбавок к пенсиям гарантируют стабильность, доля таких доходов в общем объеме в среднем свыше 15,0%.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Рост реальных располагаемых доходов населения прогнозируется до 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99,6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в 201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варианту. В 2024 году реальные располагаемые доходы населения по оценке составят 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101,2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к </w:t>
      </w:r>
      <w:r w:rsidR="00D07A82">
        <w:rPr>
          <w:rFonts w:ascii="Times New Roman" w:eastAsia="Calibri" w:hAnsi="Times New Roman" w:cs="Times New Roman"/>
          <w:sz w:val="26"/>
          <w:szCs w:val="26"/>
          <w:lang w:eastAsia="ru-RU"/>
        </w:rPr>
        <w:t>2023 году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Рост доходов населения в среднесрочном периоде будет идти умеренными темпами. 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оценочным данным средний размер государственной пенсии в 2018 году составит 20 470,2 рублей или 103</w:t>
      </w:r>
      <w:r w:rsidR="00591EE2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1% к уровню 2017 года в реальном выражении. В прогнозном периоде средний размер государственной пенсии повысится с 21 103,4 рублей в 2019 году до 24 575,7 рублей в 2024 году.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Когалыме органы местного самоуправления совместными усилиями с Правительством автономного округа, муниципальными учреждениями обеспечивают решение задачи по доведению заработной платы отдельных категорий работников до целевого ориентира, обозначенного Указом Президента Российской Федерации №597 от 7 мая 2012 года «О мероприятиях по реализации государственной социальной политики».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результате предпринятых мер размер среднемесячной заработной платы работников бюджетных учреждений </w:t>
      </w:r>
      <w:r w:rsidR="000B355E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2017 год</w:t>
      </w:r>
      <w:r w:rsidR="000B355E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сравнении с аналогичным периодом 2016 года составил:</w:t>
      </w:r>
    </w:p>
    <w:p w:rsidR="00D72987" w:rsidRPr="008952DA" w:rsidRDefault="00287F08" w:rsidP="00D72987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1" o:spid="_x0000_s1033" type="#_x0000_t102" style="position:absolute;left:0;text-align:left;margin-left:335.6pt;margin-top:154.9pt;width:23.3pt;height:30.3pt;rotation:-11411118fd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" adj="12830,19407,16200" fillcolor="#09f" strokecolor="blue" strokeweight="2pt"/>
        </w:pict>
      </w:r>
      <w:r>
        <w:rPr>
          <w:noProof/>
          <w:sz w:val="26"/>
          <w:szCs w:val="26"/>
          <w:lang w:eastAsia="ru-RU"/>
        </w:rPr>
        <w:pict>
          <v:shape id="Выгнутая влево стрелка 13" o:spid="_x0000_s1034" type="#_x0000_t102" style="position:absolute;left:0;text-align:left;margin-left:331.7pt;margin-top:109.3pt;width:36.2pt;height:38.4pt;rotation:-10983934fd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" adj="12830,19407,16200" fillcolor="#09f" strokecolor="blue" strokeweight="2pt"/>
        </w:pict>
      </w:r>
      <w:r>
        <w:rPr>
          <w:noProof/>
          <w:sz w:val="26"/>
          <w:szCs w:val="26"/>
          <w:lang w:eastAsia="ru-RU"/>
        </w:rPr>
        <w:pict>
          <v:shape id="Выгнутая влево стрелка 14" o:spid="_x0000_s1032" type="#_x0000_t102" style="position:absolute;left:0;text-align:left;margin-left:320.45pt;margin-top:21.2pt;width:23.3pt;height:30.3pt;rotation:180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" adj="12830,19407,16200" fillcolor="#09f" strokecolor="blue" strokeweight="2pt"/>
        </w:pict>
      </w:r>
      <w:r w:rsidR="00D72987" w:rsidRPr="008952DA">
        <w:rPr>
          <w:noProof/>
          <w:sz w:val="26"/>
          <w:szCs w:val="26"/>
          <w:lang w:eastAsia="ru-RU"/>
        </w:rPr>
        <w:drawing>
          <wp:inline distT="0" distB="0" distL="0" distR="0">
            <wp:extent cx="5939790" cy="2781300"/>
            <wp:effectExtent l="0" t="0" r="0" b="0"/>
            <wp:docPr id="8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оценке расходы населения в 2018 году составят </w:t>
      </w:r>
      <w:r w:rsidR="000B355E">
        <w:rPr>
          <w:rFonts w:ascii="Times New Roman" w:eastAsia="Calibri" w:hAnsi="Times New Roman" w:cs="Times New Roman"/>
          <w:sz w:val="26"/>
          <w:szCs w:val="26"/>
          <w:lang w:eastAsia="ru-RU"/>
        </w:rPr>
        <w:t>27 581,0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рублей, или </w:t>
      </w:r>
      <w:r w:rsidR="000B355E">
        <w:rPr>
          <w:rFonts w:ascii="Times New Roman" w:eastAsia="Calibri" w:hAnsi="Times New Roman" w:cs="Times New Roman"/>
          <w:sz w:val="26"/>
          <w:szCs w:val="26"/>
          <w:lang w:eastAsia="ru-RU"/>
        </w:rPr>
        <w:t>109,8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2017 года. В последующие годы среднегодовой темп прироста расходов планируется в среднем на уровне 3,</w:t>
      </w:r>
      <w:r w:rsidR="000B355E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по базовому варианту. </w:t>
      </w:r>
    </w:p>
    <w:p w:rsidR="00D72987" w:rsidRPr="008952DA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Основные направления использования денежных средств – затраты на покупку товаров и оплату услуг.</w:t>
      </w:r>
    </w:p>
    <w:p w:rsidR="007A23A4" w:rsidRPr="008952DA" w:rsidRDefault="007A23A4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4288" w:rsidRPr="008952DA" w:rsidRDefault="00BF0565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1" w:name="_Toc498075900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6. ТРУД И ЗАНЯТОСТЬ</w:t>
      </w:r>
      <w:bookmarkEnd w:id="11"/>
    </w:p>
    <w:p w:rsidR="00724288" w:rsidRPr="008952DA" w:rsidRDefault="00724288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7793" w:rsidRPr="008952DA" w:rsidRDefault="00FA7793" w:rsidP="00FA7793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8952DA">
        <w:rPr>
          <w:sz w:val="26"/>
          <w:szCs w:val="26"/>
        </w:rPr>
        <w:t xml:space="preserve">На развитие сферы занятости в прогнозном периоде будет оказывать влияние развитие экономической ситуации в стране, демографические факторы, потребность работодателей в рабочей силе, а также эффективность реализации мер по регулированию ситуации на рынке труда. 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Среднегодовая численность занятых в экономике города в 2018 году по оценке состав</w:t>
      </w:r>
      <w:r w:rsidR="003725A1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т 35,</w:t>
      </w:r>
      <w:r w:rsidR="003725A1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или 103,</w:t>
      </w:r>
      <w:r w:rsidR="003725A1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к уровню 2017 года. В прогнозном периоде планируется увеличение трудовых ресурсов к 2024 году до </w:t>
      </w:r>
      <w:r w:rsidR="003725A1">
        <w:rPr>
          <w:rFonts w:ascii="Times New Roman" w:eastAsia="Calibri" w:hAnsi="Times New Roman" w:cs="Times New Roman"/>
          <w:sz w:val="26"/>
          <w:szCs w:val="26"/>
          <w:lang w:eastAsia="ru-RU"/>
        </w:rPr>
        <w:t>37,17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по базовому варианту и до </w:t>
      </w:r>
      <w:r w:rsidR="003725A1">
        <w:rPr>
          <w:rFonts w:ascii="Times New Roman" w:eastAsia="Calibri" w:hAnsi="Times New Roman" w:cs="Times New Roman"/>
          <w:sz w:val="26"/>
          <w:szCs w:val="26"/>
          <w:lang w:eastAsia="ru-RU"/>
        </w:rPr>
        <w:t>37,86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– по целевому варианту.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Показатель среднемесячной номинальной начисленной заработной платы в 2018 году и в прогнозном периоде рассчитан с учетом всех предприятий и организаций города Когалыма и составит – 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65 490,8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(2017 год – 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64 131,0 рубль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). В прогнозном периоде среднемесячная заработная плата по городу Когалыму увеличится и к 2024 году составит 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82 149,2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варианту.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безработных, официально зарегистрированных в органах службы занятости, на конец 2018 года по оценке составит 0,1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(по состоянию на 1 января 2018 года численность безработных, имеющих официальный статус безработного составляла 0,123 тыс. человека).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Уровень зарегистрированной безработицы в 2018 году составит 0,3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 от экономически активного населения (2017 год – 0,3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%), в среднесрочном периоде данный показатель останется на уровне 0,3</w:t>
      </w:r>
      <w:r w:rsidR="007924F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по базовому варианту в 2024 году. 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мероприятий по содействию занятости населения и стабилизации ситуации на рынке труда, Центром занятости в постоянном режиме ведется работа с работодателями города Когалыма.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мероприятиями, содействующими трудоустройству безработных граждан, являются: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общественные работы;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временное трудоустройство граждан, испытывающих трудности в поиске работы;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трудоустройство несовершеннолетних граждан;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ярмарок вакансий рабочих мест;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профессиональное обучение;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профессиональная профориентация;</w:t>
      </w: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содействие трудоустройству незанятых инвалидов, одиноких родителей, воспитывающих детей-инвалидов, многодетных родителей, через создание дополнительных постоянных рабочих мест.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напряженности на рынке труда, в городе продолжается реализация муниципальной программы «Содействие занятости населения города Когалыма» (утверждена постановлением Администрации города Когалыма от 11.10.2013 №2901, далее – Программа СЗН). Для реализации мероприятий Программы СЗН в городе Когалыме на 2017 год запланированы средства в размере 22 217,60 тыс. рублей, из них: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- 5 459,50 тыс. рублей - средства бюджета Ханты-Мансийского автономного округа – Югры;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- 16 758,10 тыс. рублей - средства бюджета города Когалыма.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итогам 2017 года объем профинансированных денежных средств составил 20 054,29 тыс. рублей или 90% от годового плана. 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муниципальной программы СЗН организовано трудоустройство несовершеннолетних граждан в возрасте от 14 до 18 лет в течение учебного года и в свободное от учебы время, а также трудоустройство несовершеннолетних безработных граждан в возрасте от 16 до 18 лет.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1. Организация временного трудоустройства несовершеннолетних граждан в возрасте от 14 до 18 лет в свободное от учебы время.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Всего заключено 602 срочных трудовых договора с несовершеннолетними гражданами для трудоустройства в летние трудовые бригады (подсобные рабочие).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2. Организация временного трудоустройства несовершеннолетних граждан в возрасте от 14 до 18 лет в течение учебного года.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Всего за отчетный период с учреждениями заключено 8 договоров о совместной деятельности. С несовершеннолетними гражданами (по должности оператор ЭВМ) заключено 90 срочных трудовых договора.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Организация временного трудоустройства несовершеннолетних безработных граждан в возрасте от 16 до 18 лет. 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Всего за отчетный период с учреждениями заключено 5 договоров о совместной деятельности. С несовершеннолетними безработными гражданами (по должности оператор ЭВМ) заключено 19 срочных трудовых договоров.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Кроме того, Центром занятости реализуются средства бюджета Ханты-Мансийского автономного округа - Югры в рамках государственной программы «Содействие занятости населения в Ханты-Мансийском автономном округе - Югре на 2016-2020 годы». На 2017 год запланированы средства бюджета Ханты-Мансийского автономного округа - Югры в сумме 19 469,40 тыс. рублей.</w:t>
      </w:r>
    </w:p>
    <w:p w:rsidR="00FA7793" w:rsidRPr="008952DA" w:rsidRDefault="00FA7793" w:rsidP="00FA7793">
      <w:pPr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Освоение составило 18 353,70 тыс. рублей или 94,3% от годового плана.</w:t>
      </w:r>
    </w:p>
    <w:p w:rsidR="00FA7793" w:rsidRPr="008952DA" w:rsidRDefault="00FA7793" w:rsidP="00FA7793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снижения напряжённости на рынке труда и сдерживания роста безработицы активно используются мероприятия по временной занятости населения, развитию предпринимательства и </w:t>
      </w:r>
      <w:proofErr w:type="spellStart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самозанятости</w:t>
      </w:r>
      <w:proofErr w:type="spellEnd"/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, обучению востребованным профессиям. Центром занятости населения проводятся информационно-массовые мероприятия (заседания, совещания, встречи) с работодателями, руководителями кадровых служб предприятий, организаций и учреждений города Когалыма.</w:t>
      </w:r>
    </w:p>
    <w:p w:rsidR="00CF1094" w:rsidRPr="008952DA" w:rsidRDefault="00CF1094" w:rsidP="005B31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02049" w:rsidRPr="008952DA" w:rsidRDefault="00D85F2D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2" w:name="_Toc498075901"/>
      <w:r w:rsidRPr="008952DA">
        <w:rPr>
          <w:rFonts w:ascii="Times New Roman" w:hAnsi="Times New Roman" w:cs="Times New Roman"/>
          <w:b/>
          <w:color w:val="auto"/>
          <w:sz w:val="26"/>
          <w:szCs w:val="26"/>
        </w:rPr>
        <w:t xml:space="preserve">7. </w:t>
      </w:r>
      <w:r w:rsidR="002926DD" w:rsidRPr="008952DA">
        <w:rPr>
          <w:rFonts w:ascii="Times New Roman" w:hAnsi="Times New Roman" w:cs="Times New Roman"/>
          <w:b/>
          <w:color w:val="auto"/>
          <w:sz w:val="26"/>
          <w:szCs w:val="26"/>
        </w:rPr>
        <w:t>ДЕМОГРАФИЯ</w:t>
      </w:r>
      <w:bookmarkEnd w:id="12"/>
    </w:p>
    <w:p w:rsidR="007A15BC" w:rsidRPr="008952DA" w:rsidRDefault="007A15BC" w:rsidP="005B3126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F1702" w:rsidRPr="008952DA" w:rsidRDefault="00BF1702" w:rsidP="0051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Демографические процессы в муниципальном образовании город Когалым</w:t>
      </w:r>
      <w:r w:rsidR="004B140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 2017</w:t>
      </w:r>
      <w:r w:rsidR="005144D9"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  <w:r w:rsidRPr="008952DA">
        <w:rPr>
          <w:rFonts w:ascii="Times New Roman" w:eastAsia="Calibri" w:hAnsi="Times New Roman" w:cs="Times New Roman"/>
          <w:sz w:val="26"/>
          <w:szCs w:val="26"/>
          <w:lang w:eastAsia="ru-RU"/>
        </w:rPr>
        <w:t>характеризуются положительными тенденциями.</w:t>
      </w:r>
    </w:p>
    <w:p w:rsidR="000610E8" w:rsidRPr="008952DA" w:rsidRDefault="000610E8" w:rsidP="005144D9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Среднегодовая численность постоянного населения по данным </w:t>
      </w:r>
      <w:r w:rsidR="005144D9" w:rsidRPr="008952DA">
        <w:rPr>
          <w:rFonts w:ascii="Times New Roman" w:hAnsi="Times New Roman" w:cs="Times New Roman"/>
          <w:sz w:val="26"/>
          <w:szCs w:val="26"/>
          <w:lang w:eastAsia="ru-RU"/>
        </w:rPr>
        <w:t>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</w:t>
      </w:r>
      <w:r w:rsidRPr="008952DA">
        <w:rPr>
          <w:rFonts w:ascii="Times New Roman" w:hAnsi="Times New Roman" w:cs="Times New Roman"/>
          <w:sz w:val="26"/>
          <w:szCs w:val="26"/>
        </w:rPr>
        <w:t xml:space="preserve"> за 201</w:t>
      </w:r>
      <w:r w:rsidR="004B1409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 составила </w:t>
      </w:r>
      <w:r w:rsidR="004B1409" w:rsidRPr="008952DA">
        <w:rPr>
          <w:rFonts w:ascii="Times New Roman" w:hAnsi="Times New Roman" w:cs="Times New Roman"/>
          <w:sz w:val="26"/>
          <w:szCs w:val="26"/>
        </w:rPr>
        <w:t>65,6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человек. Численность постоянного населения на начало 201</w:t>
      </w:r>
      <w:r w:rsidR="004B1409" w:rsidRPr="008952DA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4B1409" w:rsidRPr="008952DA">
        <w:rPr>
          <w:rFonts w:ascii="Times New Roman" w:hAnsi="Times New Roman" w:cs="Times New Roman"/>
          <w:sz w:val="26"/>
          <w:szCs w:val="26"/>
        </w:rPr>
        <w:t>66,</w:t>
      </w:r>
      <w:r w:rsidR="007924FE">
        <w:rPr>
          <w:rFonts w:ascii="Times New Roman" w:hAnsi="Times New Roman" w:cs="Times New Roman"/>
          <w:sz w:val="26"/>
          <w:szCs w:val="26"/>
        </w:rPr>
        <w:t>4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человек, увеличившись по сравнению с началом 201</w:t>
      </w:r>
      <w:r w:rsidR="004B1409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4B1409" w:rsidRPr="008952DA">
        <w:rPr>
          <w:rFonts w:ascii="Times New Roman" w:hAnsi="Times New Roman" w:cs="Times New Roman"/>
          <w:sz w:val="26"/>
          <w:szCs w:val="26"/>
        </w:rPr>
        <w:t>2,4</w:t>
      </w:r>
      <w:r w:rsidR="005144D9" w:rsidRPr="008952DA">
        <w:rPr>
          <w:rFonts w:ascii="Times New Roman" w:hAnsi="Times New Roman" w:cs="Times New Roman"/>
          <w:sz w:val="26"/>
          <w:szCs w:val="26"/>
        </w:rPr>
        <w:t xml:space="preserve"> % или на </w:t>
      </w:r>
      <w:r w:rsidR="004B1409" w:rsidRPr="008952DA">
        <w:rPr>
          <w:rFonts w:ascii="Times New Roman" w:hAnsi="Times New Roman" w:cs="Times New Roman"/>
          <w:sz w:val="26"/>
          <w:szCs w:val="26"/>
        </w:rPr>
        <w:t>1,5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</w:t>
      </w:r>
      <w:r w:rsidR="005144D9" w:rsidRPr="008952D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8952DA">
        <w:rPr>
          <w:rFonts w:ascii="Times New Roman" w:hAnsi="Times New Roman" w:cs="Times New Roman"/>
          <w:sz w:val="26"/>
          <w:szCs w:val="26"/>
        </w:rPr>
        <w:t>.</w:t>
      </w:r>
    </w:p>
    <w:p w:rsidR="000610E8" w:rsidRPr="008952DA" w:rsidRDefault="005144D9" w:rsidP="00514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Определяющим фактором положительной динамики численности населения по-прежнему является естественный прирост</w:t>
      </w:r>
      <w:r w:rsidR="000610E8" w:rsidRPr="008952DA">
        <w:rPr>
          <w:rFonts w:ascii="Times New Roman" w:hAnsi="Times New Roman" w:cs="Times New Roman"/>
          <w:sz w:val="26"/>
          <w:szCs w:val="26"/>
        </w:rPr>
        <w:t>, который в 201</w:t>
      </w:r>
      <w:r w:rsidR="004B1409" w:rsidRPr="008952DA">
        <w:rPr>
          <w:rFonts w:ascii="Times New Roman" w:hAnsi="Times New Roman" w:cs="Times New Roman"/>
          <w:sz w:val="26"/>
          <w:szCs w:val="26"/>
        </w:rPr>
        <w:t>7</w:t>
      </w:r>
      <w:r w:rsidR="000610E8" w:rsidRPr="008952DA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4B1409" w:rsidRPr="008952DA">
        <w:rPr>
          <w:rFonts w:ascii="Times New Roman" w:hAnsi="Times New Roman" w:cs="Times New Roman"/>
          <w:sz w:val="26"/>
          <w:szCs w:val="26"/>
        </w:rPr>
        <w:t xml:space="preserve">615 </w:t>
      </w:r>
      <w:r w:rsidR="007A6766" w:rsidRPr="008952DA">
        <w:rPr>
          <w:rFonts w:ascii="Times New Roman" w:hAnsi="Times New Roman" w:cs="Times New Roman"/>
          <w:sz w:val="26"/>
          <w:szCs w:val="26"/>
        </w:rPr>
        <w:t>человек</w:t>
      </w:r>
      <w:r w:rsidR="000610E8" w:rsidRPr="008952DA">
        <w:rPr>
          <w:rFonts w:ascii="Times New Roman" w:hAnsi="Times New Roman" w:cs="Times New Roman"/>
          <w:sz w:val="26"/>
          <w:szCs w:val="26"/>
        </w:rPr>
        <w:t xml:space="preserve">. Устойчивой позитивной тенденцией демографического развития города на протяжении более 10 лет является превышение числа родившихся над количеством умерших в пределах </w:t>
      </w:r>
      <w:r w:rsidR="007924FE">
        <w:rPr>
          <w:rFonts w:ascii="Times New Roman" w:hAnsi="Times New Roman" w:cs="Times New Roman"/>
          <w:sz w:val="26"/>
          <w:szCs w:val="26"/>
        </w:rPr>
        <w:t>3-3,7</w:t>
      </w:r>
      <w:r w:rsidR="000610E8" w:rsidRPr="008952DA">
        <w:rPr>
          <w:rFonts w:ascii="Times New Roman" w:hAnsi="Times New Roman" w:cs="Times New Roman"/>
          <w:sz w:val="26"/>
          <w:szCs w:val="26"/>
        </w:rPr>
        <w:t xml:space="preserve"> раз</w:t>
      </w:r>
      <w:r w:rsidR="004B1409" w:rsidRPr="008952DA">
        <w:rPr>
          <w:rFonts w:ascii="Times New Roman" w:hAnsi="Times New Roman" w:cs="Times New Roman"/>
          <w:sz w:val="26"/>
          <w:szCs w:val="26"/>
        </w:rPr>
        <w:t>а до 2016</w:t>
      </w:r>
      <w:r w:rsidR="00954EB0" w:rsidRPr="008952DA">
        <w:rPr>
          <w:rFonts w:ascii="Times New Roman" w:hAnsi="Times New Roman" w:cs="Times New Roman"/>
          <w:sz w:val="26"/>
          <w:szCs w:val="26"/>
        </w:rPr>
        <w:t xml:space="preserve"> года и </w:t>
      </w:r>
      <w:r w:rsidR="004B1409" w:rsidRPr="008952DA">
        <w:rPr>
          <w:rFonts w:ascii="Times New Roman" w:hAnsi="Times New Roman" w:cs="Times New Roman"/>
          <w:sz w:val="26"/>
          <w:szCs w:val="26"/>
        </w:rPr>
        <w:t>3,</w:t>
      </w:r>
      <w:r w:rsidR="007924FE">
        <w:rPr>
          <w:rFonts w:ascii="Times New Roman" w:hAnsi="Times New Roman" w:cs="Times New Roman"/>
          <w:sz w:val="26"/>
          <w:szCs w:val="26"/>
        </w:rPr>
        <w:t>6</w:t>
      </w:r>
      <w:r w:rsidR="004B1409" w:rsidRPr="008952DA">
        <w:rPr>
          <w:rFonts w:ascii="Times New Roman" w:hAnsi="Times New Roman" w:cs="Times New Roman"/>
          <w:sz w:val="26"/>
          <w:szCs w:val="26"/>
        </w:rPr>
        <w:t xml:space="preserve"> в 2017</w:t>
      </w:r>
      <w:r w:rsidR="00954EB0" w:rsidRPr="008952DA">
        <w:rPr>
          <w:rFonts w:ascii="Times New Roman" w:hAnsi="Times New Roman" w:cs="Times New Roman"/>
          <w:sz w:val="26"/>
          <w:szCs w:val="26"/>
        </w:rPr>
        <w:t xml:space="preserve"> году</w:t>
      </w:r>
      <w:r w:rsidR="000610E8" w:rsidRPr="008952DA">
        <w:rPr>
          <w:rFonts w:ascii="Times New Roman" w:hAnsi="Times New Roman" w:cs="Times New Roman"/>
          <w:sz w:val="26"/>
          <w:szCs w:val="26"/>
        </w:rPr>
        <w:t>. В прогнозном периоде сохранится тенденция превышения рождаемости над смертностью.</w:t>
      </w:r>
    </w:p>
    <w:p w:rsidR="000610E8" w:rsidRPr="008952DA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За истекший 201</w:t>
      </w:r>
      <w:r w:rsidR="004B1409" w:rsidRPr="008952DA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 в городе родил</w:t>
      </w:r>
      <w:r w:rsidR="00E10893">
        <w:rPr>
          <w:rFonts w:ascii="Times New Roman" w:hAnsi="Times New Roman" w:cs="Times New Roman"/>
          <w:sz w:val="26"/>
          <w:szCs w:val="26"/>
        </w:rPr>
        <w:t>о</w:t>
      </w:r>
      <w:r w:rsidR="004B1409" w:rsidRPr="008952DA">
        <w:rPr>
          <w:rFonts w:ascii="Times New Roman" w:hAnsi="Times New Roman" w:cs="Times New Roman"/>
          <w:sz w:val="26"/>
          <w:szCs w:val="26"/>
        </w:rPr>
        <w:t>с</w:t>
      </w:r>
      <w:r w:rsidR="00E10893">
        <w:rPr>
          <w:rFonts w:ascii="Times New Roman" w:hAnsi="Times New Roman" w:cs="Times New Roman"/>
          <w:sz w:val="26"/>
          <w:szCs w:val="26"/>
        </w:rPr>
        <w:t>ь</w:t>
      </w:r>
      <w:r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E10893">
        <w:rPr>
          <w:rFonts w:ascii="Times New Roman" w:hAnsi="Times New Roman" w:cs="Times New Roman"/>
          <w:sz w:val="26"/>
          <w:szCs w:val="26"/>
        </w:rPr>
        <w:t>848</w:t>
      </w:r>
      <w:r w:rsidR="004B1409" w:rsidRPr="008952DA">
        <w:rPr>
          <w:rFonts w:ascii="Times New Roman" w:hAnsi="Times New Roman" w:cs="Times New Roman"/>
          <w:sz w:val="26"/>
          <w:szCs w:val="26"/>
        </w:rPr>
        <w:t xml:space="preserve"> малыш</w:t>
      </w:r>
      <w:r w:rsidR="00E10893">
        <w:rPr>
          <w:rFonts w:ascii="Times New Roman" w:hAnsi="Times New Roman" w:cs="Times New Roman"/>
          <w:sz w:val="26"/>
          <w:szCs w:val="26"/>
        </w:rPr>
        <w:t>ей</w:t>
      </w:r>
      <w:r w:rsidRPr="008952DA">
        <w:rPr>
          <w:rFonts w:ascii="Times New Roman" w:hAnsi="Times New Roman" w:cs="Times New Roman"/>
          <w:sz w:val="26"/>
          <w:szCs w:val="26"/>
        </w:rPr>
        <w:t xml:space="preserve">, что на </w:t>
      </w:r>
      <w:r w:rsidR="00E10893">
        <w:rPr>
          <w:rFonts w:ascii="Times New Roman" w:hAnsi="Times New Roman" w:cs="Times New Roman"/>
          <w:sz w:val="26"/>
          <w:szCs w:val="26"/>
        </w:rPr>
        <w:t>9,9</w:t>
      </w:r>
      <w:r w:rsidR="00954EB0" w:rsidRPr="008952DA">
        <w:rPr>
          <w:rFonts w:ascii="Times New Roman" w:hAnsi="Times New Roman" w:cs="Times New Roman"/>
          <w:sz w:val="26"/>
          <w:szCs w:val="26"/>
        </w:rPr>
        <w:t xml:space="preserve"> %</w:t>
      </w:r>
      <w:r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2B00C2" w:rsidRPr="008952DA">
        <w:rPr>
          <w:rFonts w:ascii="Times New Roman" w:hAnsi="Times New Roman" w:cs="Times New Roman"/>
          <w:sz w:val="26"/>
          <w:szCs w:val="26"/>
        </w:rPr>
        <w:t>меньше</w:t>
      </w:r>
      <w:r w:rsidRPr="008952DA">
        <w:rPr>
          <w:rFonts w:ascii="Times New Roman" w:hAnsi="Times New Roman" w:cs="Times New Roman"/>
          <w:sz w:val="26"/>
          <w:szCs w:val="26"/>
        </w:rPr>
        <w:t>, чем в 201</w:t>
      </w:r>
      <w:r w:rsidR="004B1409" w:rsidRPr="008952DA">
        <w:rPr>
          <w:rFonts w:ascii="Times New Roman" w:hAnsi="Times New Roman" w:cs="Times New Roman"/>
          <w:sz w:val="26"/>
          <w:szCs w:val="26"/>
        </w:rPr>
        <w:t>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году. Общий коэффициент рождаемости составил </w:t>
      </w:r>
      <w:r w:rsidR="00E10893">
        <w:rPr>
          <w:rFonts w:ascii="Times New Roman" w:hAnsi="Times New Roman" w:cs="Times New Roman"/>
          <w:sz w:val="26"/>
          <w:szCs w:val="26"/>
        </w:rPr>
        <w:t>12,9</w:t>
      </w:r>
      <w:r w:rsidRPr="008952DA">
        <w:rPr>
          <w:rFonts w:ascii="Times New Roman" w:hAnsi="Times New Roman" w:cs="Times New Roman"/>
          <w:sz w:val="26"/>
          <w:szCs w:val="26"/>
        </w:rPr>
        <w:t xml:space="preserve"> промилле, что </w:t>
      </w:r>
      <w:r w:rsidR="00E10893">
        <w:rPr>
          <w:rFonts w:ascii="Times New Roman" w:hAnsi="Times New Roman" w:cs="Times New Roman"/>
          <w:sz w:val="26"/>
          <w:szCs w:val="26"/>
        </w:rPr>
        <w:t>ниже</w:t>
      </w:r>
      <w:r w:rsidR="00EC346C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 xml:space="preserve">средне окружного значения на </w:t>
      </w:r>
      <w:r w:rsidR="00E10893">
        <w:rPr>
          <w:rFonts w:ascii="Times New Roman" w:hAnsi="Times New Roman" w:cs="Times New Roman"/>
          <w:sz w:val="26"/>
          <w:szCs w:val="26"/>
        </w:rPr>
        <w:t>1,2</w:t>
      </w:r>
      <w:r w:rsidRPr="008952DA">
        <w:rPr>
          <w:rFonts w:ascii="Times New Roman" w:hAnsi="Times New Roman" w:cs="Times New Roman"/>
          <w:sz w:val="26"/>
          <w:szCs w:val="26"/>
        </w:rPr>
        <w:t xml:space="preserve"> промилле (Ханты-Мансийский автономный округ – Югра – </w:t>
      </w:r>
      <w:r w:rsidR="00E10893">
        <w:rPr>
          <w:rFonts w:ascii="Times New Roman" w:hAnsi="Times New Roman" w:cs="Times New Roman"/>
          <w:sz w:val="26"/>
          <w:szCs w:val="26"/>
        </w:rPr>
        <w:t>14,1</w:t>
      </w:r>
      <w:r w:rsidRPr="008952DA">
        <w:rPr>
          <w:rFonts w:ascii="Times New Roman" w:hAnsi="Times New Roman" w:cs="Times New Roman"/>
          <w:sz w:val="26"/>
          <w:szCs w:val="26"/>
        </w:rPr>
        <w:t xml:space="preserve"> на 1000 населения)</w:t>
      </w:r>
      <w:r w:rsidR="00E10893">
        <w:rPr>
          <w:rFonts w:ascii="Times New Roman" w:hAnsi="Times New Roman" w:cs="Times New Roman"/>
          <w:sz w:val="26"/>
          <w:szCs w:val="26"/>
        </w:rPr>
        <w:t>, но</w:t>
      </w:r>
      <w:r w:rsidRPr="008952DA">
        <w:rPr>
          <w:rFonts w:ascii="Times New Roman" w:hAnsi="Times New Roman" w:cs="Times New Roman"/>
          <w:sz w:val="26"/>
          <w:szCs w:val="26"/>
        </w:rPr>
        <w:t xml:space="preserve"> выше значения по Российской Федерации на </w:t>
      </w:r>
      <w:r w:rsidR="00E10893">
        <w:rPr>
          <w:rFonts w:ascii="Times New Roman" w:hAnsi="Times New Roman" w:cs="Times New Roman"/>
          <w:sz w:val="26"/>
          <w:szCs w:val="26"/>
        </w:rPr>
        <w:t>1,4</w:t>
      </w:r>
      <w:r w:rsidR="004B1409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 xml:space="preserve">промилле (Российская Федерация </w:t>
      </w:r>
      <w:r w:rsidR="00EC346C" w:rsidRPr="008952DA">
        <w:rPr>
          <w:rFonts w:ascii="Times New Roman" w:hAnsi="Times New Roman" w:cs="Times New Roman"/>
          <w:sz w:val="26"/>
          <w:szCs w:val="26"/>
        </w:rPr>
        <w:t>–</w:t>
      </w:r>
      <w:r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EC346C" w:rsidRPr="008952DA">
        <w:rPr>
          <w:rFonts w:ascii="Times New Roman" w:hAnsi="Times New Roman" w:cs="Times New Roman"/>
          <w:sz w:val="26"/>
          <w:szCs w:val="26"/>
        </w:rPr>
        <w:t>11,</w:t>
      </w:r>
      <w:r w:rsidR="00E10893">
        <w:rPr>
          <w:rFonts w:ascii="Times New Roman" w:hAnsi="Times New Roman" w:cs="Times New Roman"/>
          <w:sz w:val="26"/>
          <w:szCs w:val="26"/>
        </w:rPr>
        <w:t>5</w:t>
      </w:r>
      <w:r w:rsidRPr="008952DA">
        <w:rPr>
          <w:rFonts w:ascii="Times New Roman" w:hAnsi="Times New Roman" w:cs="Times New Roman"/>
          <w:sz w:val="26"/>
          <w:szCs w:val="26"/>
        </w:rPr>
        <w:t xml:space="preserve"> на 1000 населения).</w:t>
      </w:r>
    </w:p>
    <w:p w:rsidR="000610E8" w:rsidRPr="008952DA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По оценке количество родившихся в 201</w:t>
      </w:r>
      <w:r w:rsidR="004B1409" w:rsidRPr="008952DA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C346C" w:rsidRPr="008952DA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E10893">
        <w:rPr>
          <w:rFonts w:ascii="Times New Roman" w:hAnsi="Times New Roman" w:cs="Times New Roman"/>
          <w:sz w:val="26"/>
          <w:szCs w:val="26"/>
        </w:rPr>
        <w:t>868 человек</w:t>
      </w:r>
      <w:r w:rsidR="004B1409" w:rsidRPr="008952DA">
        <w:rPr>
          <w:rFonts w:ascii="Times New Roman" w:hAnsi="Times New Roman" w:cs="Times New Roman"/>
          <w:sz w:val="26"/>
          <w:szCs w:val="26"/>
        </w:rPr>
        <w:t xml:space="preserve"> (рост к 2017</w:t>
      </w:r>
      <w:r w:rsidR="00EC346C" w:rsidRPr="008952DA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E10893">
        <w:rPr>
          <w:rFonts w:ascii="Times New Roman" w:hAnsi="Times New Roman" w:cs="Times New Roman"/>
          <w:sz w:val="26"/>
          <w:szCs w:val="26"/>
        </w:rPr>
        <w:t>2,4</w:t>
      </w:r>
      <w:r w:rsidR="00EC346C" w:rsidRPr="008952DA">
        <w:rPr>
          <w:rFonts w:ascii="Times New Roman" w:hAnsi="Times New Roman" w:cs="Times New Roman"/>
          <w:sz w:val="26"/>
          <w:szCs w:val="26"/>
        </w:rPr>
        <w:t>%)</w:t>
      </w:r>
      <w:r w:rsidRPr="008952DA">
        <w:rPr>
          <w:rFonts w:ascii="Times New Roman" w:hAnsi="Times New Roman" w:cs="Times New Roman"/>
          <w:sz w:val="26"/>
          <w:szCs w:val="26"/>
        </w:rPr>
        <w:t xml:space="preserve">. Общий коэффициент рождаемости составит </w:t>
      </w:r>
      <w:r w:rsidR="004B1409" w:rsidRPr="008952DA">
        <w:rPr>
          <w:rFonts w:ascii="Times New Roman" w:hAnsi="Times New Roman" w:cs="Times New Roman"/>
          <w:sz w:val="26"/>
          <w:szCs w:val="26"/>
        </w:rPr>
        <w:t>13</w:t>
      </w:r>
      <w:r w:rsidRPr="008952DA">
        <w:rPr>
          <w:rFonts w:ascii="Times New Roman" w:hAnsi="Times New Roman" w:cs="Times New Roman"/>
          <w:sz w:val="26"/>
          <w:szCs w:val="26"/>
        </w:rPr>
        <w:t xml:space="preserve"> промилле.</w:t>
      </w:r>
      <w:r w:rsidR="00EC346C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 xml:space="preserve">Количество рождений на 1 тыс. жителей прогнозируется на уровне </w:t>
      </w:r>
      <w:r w:rsidR="00E10893">
        <w:rPr>
          <w:rFonts w:ascii="Times New Roman" w:hAnsi="Times New Roman" w:cs="Times New Roman"/>
          <w:sz w:val="26"/>
          <w:szCs w:val="26"/>
        </w:rPr>
        <w:t>12,9-13</w:t>
      </w:r>
      <w:r w:rsidRPr="008952DA">
        <w:rPr>
          <w:rFonts w:ascii="Times New Roman" w:hAnsi="Times New Roman" w:cs="Times New Roman"/>
          <w:sz w:val="26"/>
          <w:szCs w:val="26"/>
        </w:rPr>
        <w:t xml:space="preserve"> промилле в год. Количество рождений повысится с </w:t>
      </w:r>
      <w:r w:rsidR="00E10893">
        <w:rPr>
          <w:rFonts w:ascii="Times New Roman" w:hAnsi="Times New Roman" w:cs="Times New Roman"/>
          <w:sz w:val="26"/>
          <w:szCs w:val="26"/>
        </w:rPr>
        <w:t>875</w:t>
      </w:r>
      <w:r w:rsidRPr="008952DA">
        <w:rPr>
          <w:rFonts w:ascii="Times New Roman" w:hAnsi="Times New Roman" w:cs="Times New Roman"/>
          <w:sz w:val="26"/>
          <w:szCs w:val="26"/>
        </w:rPr>
        <w:t xml:space="preserve"> человек в 201</w:t>
      </w:r>
      <w:r w:rsidR="004B1409" w:rsidRPr="008952DA">
        <w:rPr>
          <w:rFonts w:ascii="Times New Roman" w:hAnsi="Times New Roman" w:cs="Times New Roman"/>
          <w:sz w:val="26"/>
          <w:szCs w:val="26"/>
        </w:rPr>
        <w:t>9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E10893">
        <w:rPr>
          <w:rFonts w:ascii="Times New Roman" w:hAnsi="Times New Roman" w:cs="Times New Roman"/>
          <w:sz w:val="26"/>
          <w:szCs w:val="26"/>
        </w:rPr>
        <w:t>930</w:t>
      </w:r>
      <w:r w:rsidRPr="008952DA">
        <w:rPr>
          <w:rFonts w:ascii="Times New Roman" w:hAnsi="Times New Roman" w:cs="Times New Roman"/>
          <w:sz w:val="26"/>
          <w:szCs w:val="26"/>
        </w:rPr>
        <w:t xml:space="preserve"> человек в 20</w:t>
      </w:r>
      <w:r w:rsidR="004B1409" w:rsidRPr="008952DA">
        <w:rPr>
          <w:rFonts w:ascii="Times New Roman" w:hAnsi="Times New Roman" w:cs="Times New Roman"/>
          <w:sz w:val="26"/>
          <w:szCs w:val="26"/>
        </w:rPr>
        <w:t>24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по </w:t>
      </w:r>
      <w:r w:rsidR="00C175E7" w:rsidRPr="008952DA">
        <w:rPr>
          <w:rFonts w:ascii="Times New Roman" w:hAnsi="Times New Roman" w:cs="Times New Roman"/>
          <w:sz w:val="26"/>
          <w:szCs w:val="26"/>
        </w:rPr>
        <w:t xml:space="preserve">базовому варианту и до </w:t>
      </w:r>
      <w:r w:rsidR="00E10893">
        <w:rPr>
          <w:rFonts w:ascii="Times New Roman" w:hAnsi="Times New Roman" w:cs="Times New Roman"/>
          <w:sz w:val="26"/>
          <w:szCs w:val="26"/>
        </w:rPr>
        <w:t>961</w:t>
      </w:r>
      <w:r w:rsidR="00C175E7" w:rsidRPr="008952DA">
        <w:rPr>
          <w:rFonts w:ascii="Times New Roman" w:hAnsi="Times New Roman" w:cs="Times New Roman"/>
          <w:sz w:val="26"/>
          <w:szCs w:val="26"/>
        </w:rPr>
        <w:t xml:space="preserve"> по целевому варианту.</w:t>
      </w:r>
    </w:p>
    <w:p w:rsidR="000610E8" w:rsidRPr="008952DA" w:rsidRDefault="000610E8" w:rsidP="00260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среднесрочной перспективе количество </w:t>
      </w:r>
      <w:r w:rsidR="00EC346C" w:rsidRPr="008952DA">
        <w:rPr>
          <w:rFonts w:ascii="Times New Roman" w:hAnsi="Times New Roman" w:cs="Times New Roman"/>
          <w:sz w:val="26"/>
          <w:szCs w:val="26"/>
        </w:rPr>
        <w:t xml:space="preserve">умерших в среднем </w:t>
      </w:r>
      <w:r w:rsidR="0088608E" w:rsidRPr="008952DA">
        <w:rPr>
          <w:rFonts w:ascii="Times New Roman" w:hAnsi="Times New Roman" w:cs="Times New Roman"/>
          <w:sz w:val="26"/>
          <w:szCs w:val="26"/>
        </w:rPr>
        <w:t xml:space="preserve">сохранится на уровне </w:t>
      </w:r>
      <w:r w:rsidR="00A176D2">
        <w:rPr>
          <w:rFonts w:ascii="Times New Roman" w:hAnsi="Times New Roman" w:cs="Times New Roman"/>
          <w:sz w:val="26"/>
          <w:szCs w:val="26"/>
        </w:rPr>
        <w:t>245</w:t>
      </w:r>
      <w:r w:rsidR="00EC346C" w:rsidRPr="008952DA">
        <w:rPr>
          <w:rFonts w:ascii="Times New Roman" w:hAnsi="Times New Roman" w:cs="Times New Roman"/>
          <w:sz w:val="26"/>
          <w:szCs w:val="26"/>
        </w:rPr>
        <w:t xml:space="preserve"> по базовому варианту,</w:t>
      </w:r>
      <w:r w:rsidR="0088608E" w:rsidRPr="008952DA">
        <w:rPr>
          <w:rFonts w:ascii="Times New Roman" w:hAnsi="Times New Roman" w:cs="Times New Roman"/>
          <w:sz w:val="26"/>
          <w:szCs w:val="26"/>
        </w:rPr>
        <w:t xml:space="preserve"> о</w:t>
      </w:r>
      <w:r w:rsidRPr="008952DA">
        <w:rPr>
          <w:rFonts w:ascii="Times New Roman" w:hAnsi="Times New Roman" w:cs="Times New Roman"/>
          <w:sz w:val="26"/>
          <w:szCs w:val="26"/>
        </w:rPr>
        <w:t>бщий коэффициент смертности населения к 20</w:t>
      </w:r>
      <w:r w:rsidR="0026018A" w:rsidRPr="008952DA">
        <w:rPr>
          <w:rFonts w:ascii="Times New Roman" w:hAnsi="Times New Roman" w:cs="Times New Roman"/>
          <w:sz w:val="26"/>
          <w:szCs w:val="26"/>
        </w:rPr>
        <w:t xml:space="preserve">24 </w:t>
      </w:r>
      <w:r w:rsidRPr="008952DA">
        <w:rPr>
          <w:rFonts w:ascii="Times New Roman" w:hAnsi="Times New Roman" w:cs="Times New Roman"/>
          <w:sz w:val="26"/>
          <w:szCs w:val="26"/>
        </w:rPr>
        <w:t xml:space="preserve">году составит </w:t>
      </w:r>
      <w:r w:rsidR="00FC6117">
        <w:rPr>
          <w:rFonts w:ascii="Times New Roman" w:hAnsi="Times New Roman" w:cs="Times New Roman"/>
          <w:sz w:val="26"/>
          <w:szCs w:val="26"/>
        </w:rPr>
        <w:t>3,46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промилле.</w:t>
      </w:r>
    </w:p>
    <w:p w:rsidR="00E717AC" w:rsidRPr="008952DA" w:rsidRDefault="00E717AC" w:rsidP="00E7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отличие от естественного движения населения миграционные потоки не обладают устойчивой динамикой по годам. Миграционная составляющая испытывает колебания из года в год.</w:t>
      </w:r>
    </w:p>
    <w:p w:rsidR="0026018A" w:rsidRPr="008952DA" w:rsidRDefault="00E717AC" w:rsidP="00E7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Мигра</w:t>
      </w:r>
      <w:r w:rsidR="0026018A" w:rsidRPr="008952DA">
        <w:rPr>
          <w:rFonts w:ascii="Times New Roman" w:hAnsi="Times New Roman" w:cs="Times New Roman"/>
          <w:sz w:val="26"/>
          <w:szCs w:val="26"/>
        </w:rPr>
        <w:t>ционный прирост населения в 2017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значительно увеличился по сравн</w:t>
      </w:r>
      <w:r w:rsidR="0026018A" w:rsidRPr="008952DA">
        <w:rPr>
          <w:rFonts w:ascii="Times New Roman" w:hAnsi="Times New Roman" w:cs="Times New Roman"/>
          <w:sz w:val="26"/>
          <w:szCs w:val="26"/>
        </w:rPr>
        <w:t>ению с 2016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годом и составил </w:t>
      </w:r>
      <w:r w:rsidR="0026018A" w:rsidRPr="008952DA">
        <w:rPr>
          <w:rFonts w:ascii="Times New Roman" w:hAnsi="Times New Roman" w:cs="Times New Roman"/>
          <w:sz w:val="26"/>
          <w:szCs w:val="26"/>
        </w:rPr>
        <w:t>912 человека (2016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6018A" w:rsidRPr="008952DA">
        <w:rPr>
          <w:rFonts w:ascii="Times New Roman" w:hAnsi="Times New Roman" w:cs="Times New Roman"/>
          <w:sz w:val="26"/>
          <w:szCs w:val="26"/>
        </w:rPr>
        <w:t>684). По оценке в 2018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число прибывших в город составит </w:t>
      </w:r>
      <w:r w:rsidR="00C022AC">
        <w:rPr>
          <w:rFonts w:ascii="Times New Roman" w:hAnsi="Times New Roman" w:cs="Times New Roman"/>
          <w:sz w:val="26"/>
          <w:szCs w:val="26"/>
        </w:rPr>
        <w:t>2 933</w:t>
      </w:r>
      <w:r w:rsidRPr="008952D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022AC">
        <w:rPr>
          <w:rFonts w:ascii="Times New Roman" w:hAnsi="Times New Roman" w:cs="Times New Roman"/>
          <w:sz w:val="26"/>
          <w:szCs w:val="26"/>
        </w:rPr>
        <w:t>а</w:t>
      </w:r>
      <w:r w:rsidRPr="008952DA">
        <w:rPr>
          <w:rFonts w:ascii="Times New Roman" w:hAnsi="Times New Roman" w:cs="Times New Roman"/>
          <w:sz w:val="26"/>
          <w:szCs w:val="26"/>
        </w:rPr>
        <w:t xml:space="preserve">, а выбывших – </w:t>
      </w:r>
      <w:r w:rsidR="0026018A" w:rsidRPr="008952DA">
        <w:rPr>
          <w:rFonts w:ascii="Times New Roman" w:hAnsi="Times New Roman" w:cs="Times New Roman"/>
          <w:sz w:val="26"/>
          <w:szCs w:val="26"/>
        </w:rPr>
        <w:t xml:space="preserve">2 </w:t>
      </w:r>
      <w:r w:rsidR="00C022AC">
        <w:rPr>
          <w:rFonts w:ascii="Times New Roman" w:hAnsi="Times New Roman" w:cs="Times New Roman"/>
          <w:sz w:val="26"/>
          <w:szCs w:val="26"/>
        </w:rPr>
        <w:t>609</w:t>
      </w:r>
      <w:r w:rsidR="0026018A" w:rsidRPr="008952DA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0610E8" w:rsidRPr="008952DA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201</w:t>
      </w:r>
      <w:r w:rsidR="0026018A" w:rsidRPr="008952DA">
        <w:rPr>
          <w:rFonts w:ascii="Times New Roman" w:hAnsi="Times New Roman" w:cs="Times New Roman"/>
          <w:sz w:val="26"/>
          <w:szCs w:val="26"/>
        </w:rPr>
        <w:t>9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по прогнозу составит </w:t>
      </w:r>
      <w:r w:rsidR="00C022AC">
        <w:rPr>
          <w:rFonts w:ascii="Times New Roman" w:hAnsi="Times New Roman" w:cs="Times New Roman"/>
          <w:sz w:val="26"/>
          <w:szCs w:val="26"/>
        </w:rPr>
        <w:t>67,8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человек с перспективой увеличения к 20</w:t>
      </w:r>
      <w:r w:rsidR="0026018A" w:rsidRPr="008952DA">
        <w:rPr>
          <w:rFonts w:ascii="Times New Roman" w:hAnsi="Times New Roman" w:cs="Times New Roman"/>
          <w:sz w:val="26"/>
          <w:szCs w:val="26"/>
        </w:rPr>
        <w:t>24</w:t>
      </w:r>
      <w:r w:rsidR="00A52332"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 xml:space="preserve">году до </w:t>
      </w:r>
      <w:r w:rsidR="00C022AC">
        <w:rPr>
          <w:rFonts w:ascii="Times New Roman" w:hAnsi="Times New Roman" w:cs="Times New Roman"/>
          <w:sz w:val="26"/>
          <w:szCs w:val="26"/>
        </w:rPr>
        <w:t>73,1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человек по </w:t>
      </w:r>
      <w:r w:rsidR="003F7F2C" w:rsidRPr="008952DA">
        <w:rPr>
          <w:rFonts w:ascii="Times New Roman" w:hAnsi="Times New Roman" w:cs="Times New Roman"/>
          <w:sz w:val="26"/>
          <w:szCs w:val="26"/>
        </w:rPr>
        <w:t xml:space="preserve">базовому </w:t>
      </w:r>
      <w:r w:rsidRPr="008952DA">
        <w:rPr>
          <w:rFonts w:ascii="Times New Roman" w:hAnsi="Times New Roman" w:cs="Times New Roman"/>
          <w:sz w:val="26"/>
          <w:szCs w:val="26"/>
        </w:rPr>
        <w:t xml:space="preserve">варианту. </w:t>
      </w:r>
    </w:p>
    <w:p w:rsidR="003F7F2C" w:rsidRDefault="003F7F2C" w:rsidP="003F7F2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022AC" w:rsidRDefault="00C022AC" w:rsidP="003F7F2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022AC" w:rsidRPr="008952DA" w:rsidRDefault="00C022AC" w:rsidP="003F7F2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65D4D" w:rsidRPr="008952DA" w:rsidRDefault="00E34AC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3" w:name="_Toc498075902"/>
      <w:r w:rsidRPr="008952DA">
        <w:rPr>
          <w:rFonts w:ascii="Times New Roman" w:hAnsi="Times New Roman" w:cs="Times New Roman"/>
          <w:b/>
          <w:color w:val="auto"/>
          <w:sz w:val="26"/>
          <w:szCs w:val="26"/>
        </w:rPr>
        <w:t>8</w:t>
      </w:r>
      <w:r w:rsidR="00051BE3" w:rsidRPr="008952DA">
        <w:rPr>
          <w:rFonts w:ascii="Times New Roman" w:hAnsi="Times New Roman" w:cs="Times New Roman"/>
          <w:b/>
          <w:color w:val="auto"/>
          <w:sz w:val="26"/>
          <w:szCs w:val="26"/>
        </w:rPr>
        <w:t>. РАЗВИТИЕ ОТРАСЛЕЙ СОЦИАЛЬНОЙ СФЕРЫ</w:t>
      </w:r>
      <w:bookmarkEnd w:id="13"/>
    </w:p>
    <w:p w:rsidR="00051BE3" w:rsidRPr="008952DA" w:rsidRDefault="00051BE3" w:rsidP="009D5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Приоритетными направлениями развития социально-культурной сферы на 2019 – 2024 годы станут повышение эффективности функционирования и обеспечение доступности учреждений социальной сферы, дальнейшее развитие материально-технической базы учреждений.</w:t>
      </w:r>
    </w:p>
    <w:p w:rsidR="00FA7793" w:rsidRPr="008952DA" w:rsidRDefault="00FA7793" w:rsidP="00FA77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_Toc498075903"/>
      <w:r w:rsidRPr="008952DA">
        <w:rPr>
          <w:rFonts w:ascii="Times New Roman" w:hAnsi="Times New Roman" w:cs="Times New Roman"/>
          <w:color w:val="auto"/>
          <w:sz w:val="26"/>
          <w:szCs w:val="26"/>
        </w:rPr>
        <w:t>Образование</w:t>
      </w:r>
      <w:bookmarkEnd w:id="14"/>
    </w:p>
    <w:p w:rsidR="00FA7793" w:rsidRPr="008952DA" w:rsidRDefault="00FA7793" w:rsidP="00FA77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Основными задачами в области образования в прогнозном периоде будут являться: ускорение модернизации образования, стимулирование доступности качественного образования, обеспечение развития его инновационного характера.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Одной из приоритетных задач является обеспечение доступности и повышение качества дошкольного образования. В городе на 1 января 2018 года функционировало 7 дошкольных образовательных организаций, в которых воспитывалось 4 230 детей – 74% от общего количества детей в возрасте от 1,5 до 7 лет (2016 год – 4 132 </w:t>
      </w:r>
      <w:r w:rsidR="009E5421">
        <w:rPr>
          <w:rFonts w:ascii="Times New Roman" w:hAnsi="Times New Roman" w:cs="Times New Roman"/>
          <w:sz w:val="26"/>
          <w:szCs w:val="26"/>
        </w:rPr>
        <w:t>ребёнка</w:t>
      </w:r>
      <w:r w:rsidRPr="008952DA">
        <w:rPr>
          <w:rFonts w:ascii="Times New Roman" w:hAnsi="Times New Roman" w:cs="Times New Roman"/>
          <w:sz w:val="26"/>
          <w:szCs w:val="26"/>
        </w:rPr>
        <w:t>, 74,2% соответственно).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№273-ФЗ «Об образовании в РФ», с целью поддержки и развития семейного воспитания на базе всех дошкольных образовательных организаций в 2018 году продолжают функционировать консультационные пункты по оказанию методической, диагностической и консультационной помощи семьям, воспитывающим детей дошкольного возраста на дому.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Продолжают работу два центра временного пребывания детей: «Теремок» и «</w:t>
      </w:r>
      <w:proofErr w:type="spellStart"/>
      <w:r w:rsidRPr="008952DA">
        <w:rPr>
          <w:rFonts w:ascii="Times New Roman" w:hAnsi="Times New Roman" w:cs="Times New Roman"/>
          <w:sz w:val="26"/>
          <w:szCs w:val="26"/>
        </w:rPr>
        <w:t>Лунтик</w:t>
      </w:r>
      <w:proofErr w:type="spellEnd"/>
      <w:r w:rsidRPr="008952DA">
        <w:rPr>
          <w:rFonts w:ascii="Times New Roman" w:hAnsi="Times New Roman" w:cs="Times New Roman"/>
          <w:sz w:val="26"/>
          <w:szCs w:val="26"/>
        </w:rPr>
        <w:t xml:space="preserve">», предоставляющие на платной основе услуги по уходу и присмотру за детьми раннего возраста (22 места). В 2018 году еще 1 индивидуальный предприниматель продолжает оказывать услуги по присмотру и уходу за детьми раннего возраста (15 мест). 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Численность детей в дошкольных образовательных организациях в прогнозном периоде будет иметь положительную динамику, и к 2024 году составит свыше 4,</w:t>
      </w:r>
      <w:r w:rsidR="009E5421">
        <w:rPr>
          <w:rFonts w:ascii="Times New Roman" w:hAnsi="Times New Roman" w:cs="Times New Roman"/>
          <w:sz w:val="26"/>
          <w:szCs w:val="26"/>
        </w:rPr>
        <w:t>7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человек по базовому варианту или 1</w:t>
      </w:r>
      <w:r w:rsidR="009E5421">
        <w:rPr>
          <w:rFonts w:ascii="Times New Roman" w:hAnsi="Times New Roman" w:cs="Times New Roman"/>
          <w:sz w:val="26"/>
          <w:szCs w:val="26"/>
        </w:rPr>
        <w:t>11,7</w:t>
      </w:r>
      <w:r w:rsidRPr="008952DA">
        <w:rPr>
          <w:rFonts w:ascii="Times New Roman" w:hAnsi="Times New Roman" w:cs="Times New Roman"/>
          <w:sz w:val="26"/>
          <w:szCs w:val="26"/>
        </w:rPr>
        <w:t>% к уровню 2017 года.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Обеспеченность дошкольными образовательными организациями в 2017 году составила </w:t>
      </w:r>
      <w:r w:rsidR="009E5421">
        <w:rPr>
          <w:rFonts w:ascii="Times New Roman" w:hAnsi="Times New Roman" w:cs="Times New Roman"/>
          <w:sz w:val="26"/>
          <w:szCs w:val="26"/>
        </w:rPr>
        <w:t>683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мест</w:t>
      </w:r>
      <w:r w:rsidR="009E5421">
        <w:rPr>
          <w:rFonts w:ascii="Times New Roman" w:hAnsi="Times New Roman" w:cs="Times New Roman"/>
          <w:sz w:val="26"/>
          <w:szCs w:val="26"/>
        </w:rPr>
        <w:t>а</w:t>
      </w:r>
      <w:r w:rsidRPr="008952DA">
        <w:rPr>
          <w:rFonts w:ascii="Times New Roman" w:hAnsi="Times New Roman" w:cs="Times New Roman"/>
          <w:sz w:val="26"/>
          <w:szCs w:val="26"/>
        </w:rPr>
        <w:t xml:space="preserve"> на 1000 детей в возрасте 1-6 лет. В 2018 году данный показатель по оценке составит </w:t>
      </w:r>
      <w:r w:rsidR="009E5421">
        <w:rPr>
          <w:rFonts w:ascii="Times New Roman" w:hAnsi="Times New Roman" w:cs="Times New Roman"/>
          <w:sz w:val="26"/>
          <w:szCs w:val="26"/>
        </w:rPr>
        <w:t>674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мест</w:t>
      </w:r>
      <w:r w:rsidR="009E5421">
        <w:rPr>
          <w:rFonts w:ascii="Times New Roman" w:hAnsi="Times New Roman" w:cs="Times New Roman"/>
          <w:sz w:val="26"/>
          <w:szCs w:val="26"/>
        </w:rPr>
        <w:t>а</w:t>
      </w:r>
      <w:r w:rsidRPr="008952DA">
        <w:rPr>
          <w:rFonts w:ascii="Times New Roman" w:hAnsi="Times New Roman" w:cs="Times New Roman"/>
          <w:sz w:val="26"/>
          <w:szCs w:val="26"/>
        </w:rPr>
        <w:t xml:space="preserve"> на 1 000 детей в возрасте 1-6 лет, к 2024 году уровень обеспеченности составит </w:t>
      </w:r>
      <w:r w:rsidR="009E5421">
        <w:rPr>
          <w:rFonts w:ascii="Times New Roman" w:hAnsi="Times New Roman" w:cs="Times New Roman"/>
          <w:sz w:val="26"/>
          <w:szCs w:val="26"/>
        </w:rPr>
        <w:t>724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мест</w:t>
      </w:r>
      <w:r w:rsidR="009E5421">
        <w:rPr>
          <w:rFonts w:ascii="Times New Roman" w:hAnsi="Times New Roman" w:cs="Times New Roman"/>
          <w:sz w:val="26"/>
          <w:szCs w:val="26"/>
        </w:rPr>
        <w:t>а</w:t>
      </w:r>
      <w:r w:rsidRPr="008952DA">
        <w:rPr>
          <w:rFonts w:ascii="Times New Roman" w:hAnsi="Times New Roman" w:cs="Times New Roman"/>
          <w:sz w:val="26"/>
          <w:szCs w:val="26"/>
        </w:rPr>
        <w:t>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За последние 5 лет потребность детей города Когалыма в возрасте от 3 до 7 лет в услугах дошкольного образования удовлетворена полностью.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2017 году в городе продолжали работать 7 общеобразовательных организаций, в которых обучалось 7 515 человек. 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5 из 7 общеобразовательных организаций обучение ведется в две смены. Но благодаря планомерному проведению ряда мероприятий по оптимизации имеющихся в общеобразовательных организациях площадей, сокращению количества классов-комплектов за счет увеличения наполняемости классов, на протяжении последних четырех лет снижается доля учащихся, обучающихся во вторую смену: в 2017 году – 23,1% (1 737 человек), в 2016 году – 26,2% (1 900 человек), в 2015 году – 32% (2 278 человек), в 2014 году – 33% (2 321 человек). 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Дополнительные образовательные услуги для детей школьного возраста предоставляются на бесплатной основе по 6 направлениям на базе всех (7) общеобразовательных организаций и 2-х организаций дополнительного образования детей, а также в двух негосударственных образовательных учреждениях на платной основе.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2017 году в кружках и секциях в образовательных организациях города Когалыма в возрасте от 5-18 лет занято 7 666 человек, что составляет 68,5% (11 195) из них (в 2016 году – 62,5%)</w:t>
      </w:r>
      <w:r w:rsidR="000751F0">
        <w:rPr>
          <w:rFonts w:ascii="Times New Roman" w:hAnsi="Times New Roman" w:cs="Times New Roman"/>
          <w:sz w:val="26"/>
          <w:szCs w:val="26"/>
        </w:rPr>
        <w:t>: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– 3 843 человека (50,1%); 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учреждениях дополнительного образования  – 1 713 человек (22,3%); 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дошкольных образовательных организациях – 1 679 человек (2</w:t>
      </w:r>
      <w:r w:rsidR="008B4BFA">
        <w:rPr>
          <w:rFonts w:ascii="Times New Roman" w:hAnsi="Times New Roman" w:cs="Times New Roman"/>
          <w:sz w:val="26"/>
          <w:szCs w:val="26"/>
        </w:rPr>
        <w:t>2</w:t>
      </w:r>
      <w:r w:rsidRPr="008952DA">
        <w:rPr>
          <w:rFonts w:ascii="Times New Roman" w:hAnsi="Times New Roman" w:cs="Times New Roman"/>
          <w:sz w:val="26"/>
          <w:szCs w:val="26"/>
        </w:rPr>
        <w:t>%);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негосударственных  учреждениях дополнительного образования 172 человека (2,2); 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</w:t>
      </w:r>
      <w:r w:rsidR="00DD1B95">
        <w:rPr>
          <w:rFonts w:ascii="Times New Roman" w:hAnsi="Times New Roman" w:cs="Times New Roman"/>
          <w:sz w:val="26"/>
          <w:szCs w:val="26"/>
        </w:rPr>
        <w:t>бюджетном учреждении</w:t>
      </w:r>
      <w:r w:rsidRPr="008952DA">
        <w:rPr>
          <w:rFonts w:ascii="Times New Roman" w:hAnsi="Times New Roman" w:cs="Times New Roman"/>
          <w:sz w:val="26"/>
          <w:szCs w:val="26"/>
        </w:rPr>
        <w:t xml:space="preserve"> </w:t>
      </w:r>
      <w:r w:rsidR="00DD1B95">
        <w:rPr>
          <w:rFonts w:ascii="Times New Roman" w:hAnsi="Times New Roman" w:cs="Times New Roman"/>
          <w:sz w:val="26"/>
          <w:szCs w:val="26"/>
        </w:rPr>
        <w:t xml:space="preserve">профессионального образования Ханты-Мансийского автономного округа </w:t>
      </w:r>
      <w:r w:rsidRPr="008952DA">
        <w:rPr>
          <w:rFonts w:ascii="Times New Roman" w:hAnsi="Times New Roman" w:cs="Times New Roman"/>
          <w:sz w:val="26"/>
          <w:szCs w:val="26"/>
        </w:rPr>
        <w:t>-</w:t>
      </w:r>
      <w:r w:rsidR="00DD1B95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 xml:space="preserve">Югры </w:t>
      </w:r>
      <w:r w:rsidR="00DD1B95">
        <w:rPr>
          <w:rFonts w:ascii="Times New Roman" w:hAnsi="Times New Roman" w:cs="Times New Roman"/>
          <w:sz w:val="26"/>
          <w:szCs w:val="26"/>
        </w:rPr>
        <w:t>«</w:t>
      </w:r>
      <w:r w:rsidRPr="008952DA">
        <w:rPr>
          <w:rFonts w:ascii="Times New Roman" w:hAnsi="Times New Roman" w:cs="Times New Roman"/>
          <w:sz w:val="26"/>
          <w:szCs w:val="26"/>
        </w:rPr>
        <w:t>Когалымский политехнический колледж» - 259 человек (3,4%).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Систему среднего профессионального образования в городе </w:t>
      </w:r>
      <w:r w:rsidR="008B4BFA">
        <w:rPr>
          <w:rFonts w:ascii="Times New Roman" w:hAnsi="Times New Roman" w:cs="Times New Roman"/>
          <w:sz w:val="26"/>
          <w:szCs w:val="26"/>
        </w:rPr>
        <w:t xml:space="preserve">Когалыме также, как и в 2017 году, </w:t>
      </w:r>
      <w:r w:rsidRPr="008952DA">
        <w:rPr>
          <w:rFonts w:ascii="Times New Roman" w:hAnsi="Times New Roman" w:cs="Times New Roman"/>
          <w:sz w:val="26"/>
          <w:szCs w:val="26"/>
        </w:rPr>
        <w:t>в 201</w:t>
      </w:r>
      <w:r w:rsidR="008B4BFA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году представля</w:t>
      </w:r>
      <w:r w:rsidR="008B4BFA">
        <w:rPr>
          <w:rFonts w:ascii="Times New Roman" w:hAnsi="Times New Roman" w:cs="Times New Roman"/>
          <w:sz w:val="26"/>
          <w:szCs w:val="26"/>
        </w:rPr>
        <w:t>ет</w:t>
      </w:r>
      <w:r w:rsidRPr="008952DA">
        <w:rPr>
          <w:rFonts w:ascii="Times New Roman" w:hAnsi="Times New Roman" w:cs="Times New Roman"/>
          <w:sz w:val="26"/>
          <w:szCs w:val="26"/>
        </w:rPr>
        <w:t xml:space="preserve"> бюджетное учреждение профессионального образования Ханты-Мансийского автономного округа - Югры «Когалымский политехнический колледж». Численность обучающихся в 2017 году составила </w:t>
      </w:r>
      <w:r w:rsidR="008B4BFA">
        <w:rPr>
          <w:rFonts w:ascii="Times New Roman" w:hAnsi="Times New Roman" w:cs="Times New Roman"/>
          <w:sz w:val="26"/>
          <w:szCs w:val="26"/>
        </w:rPr>
        <w:t>566</w:t>
      </w:r>
      <w:r w:rsidRPr="008952DA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FA7793" w:rsidRPr="008952DA" w:rsidRDefault="00FA7793" w:rsidP="00FA7793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8952DA">
        <w:rPr>
          <w:rFonts w:ascii="Times New Roman" w:hAnsi="Times New Roman"/>
          <w:sz w:val="26"/>
          <w:szCs w:val="26"/>
        </w:rPr>
        <w:t xml:space="preserve">В 2017 году в сфере образования продолжила свою реализацию муниципальная программа «Развитие образования в городе Когалыме» (далее – муниципальная программа). Объем плановых ассигнований на 2017 год составил 1 971 167,87 тыс. рублей. </w:t>
      </w:r>
    </w:p>
    <w:p w:rsidR="00FA7793" w:rsidRPr="008952DA" w:rsidRDefault="00FA7793" w:rsidP="00FA7793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8952DA">
        <w:rPr>
          <w:rFonts w:ascii="Times New Roman" w:hAnsi="Times New Roman"/>
          <w:sz w:val="26"/>
          <w:szCs w:val="26"/>
        </w:rPr>
        <w:t>Всего в 2017 году кассовое исполнение по муниципальной программе составило 1 960 792,40 тыс. рублей или 99,5% к годовому плану.</w:t>
      </w:r>
    </w:p>
    <w:p w:rsidR="00FA7793" w:rsidRPr="008952DA" w:rsidRDefault="00FA7793" w:rsidP="00FA7793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8952DA">
        <w:rPr>
          <w:rFonts w:ascii="Times New Roman" w:hAnsi="Times New Roman"/>
          <w:sz w:val="26"/>
          <w:szCs w:val="26"/>
        </w:rPr>
        <w:t xml:space="preserve">С 01.09.2017 в </w:t>
      </w:r>
      <w:r w:rsidR="008B4BFA">
        <w:rPr>
          <w:rFonts w:ascii="Times New Roman" w:hAnsi="Times New Roman"/>
          <w:sz w:val="26"/>
          <w:szCs w:val="26"/>
        </w:rPr>
        <w:t>муниципальном автономном учреждении</w:t>
      </w:r>
      <w:r w:rsidRPr="008952DA">
        <w:rPr>
          <w:rFonts w:ascii="Times New Roman" w:hAnsi="Times New Roman"/>
          <w:sz w:val="26"/>
          <w:szCs w:val="26"/>
        </w:rPr>
        <w:t xml:space="preserve"> </w:t>
      </w:r>
      <w:r w:rsidR="008B4BFA">
        <w:rPr>
          <w:rFonts w:ascii="Times New Roman" w:hAnsi="Times New Roman"/>
          <w:sz w:val="26"/>
          <w:szCs w:val="26"/>
        </w:rPr>
        <w:t>дополнительного образования</w:t>
      </w:r>
      <w:r w:rsidRPr="008952DA">
        <w:rPr>
          <w:rFonts w:ascii="Times New Roman" w:hAnsi="Times New Roman"/>
          <w:sz w:val="26"/>
          <w:szCs w:val="26"/>
        </w:rPr>
        <w:t xml:space="preserve"> «</w:t>
      </w:r>
      <w:r w:rsidR="008B4BFA">
        <w:rPr>
          <w:rFonts w:ascii="Times New Roman" w:hAnsi="Times New Roman"/>
          <w:sz w:val="26"/>
          <w:szCs w:val="26"/>
        </w:rPr>
        <w:t>Дом детского творчества</w:t>
      </w:r>
      <w:r w:rsidRPr="008952DA">
        <w:rPr>
          <w:rFonts w:ascii="Times New Roman" w:hAnsi="Times New Roman"/>
          <w:sz w:val="26"/>
          <w:szCs w:val="26"/>
        </w:rPr>
        <w:t>» реализуется программа персонифицированного финансирования дополнительного образования. Выдано 1 108 сертификатов</w:t>
      </w:r>
      <w:r w:rsidR="008B4BFA">
        <w:rPr>
          <w:rFonts w:ascii="Times New Roman" w:hAnsi="Times New Roman"/>
          <w:sz w:val="26"/>
          <w:szCs w:val="26"/>
        </w:rPr>
        <w:t>.</w:t>
      </w:r>
    </w:p>
    <w:p w:rsidR="00FA7793" w:rsidRDefault="00FA7793" w:rsidP="00FA7793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8952DA">
        <w:rPr>
          <w:rFonts w:ascii="Times New Roman" w:hAnsi="Times New Roman"/>
          <w:sz w:val="26"/>
          <w:szCs w:val="26"/>
        </w:rPr>
        <w:t>Программа персонифицированного финансирования дополнительного образования детей сформирована с учетом Правил персонифицированного финансирования дополнительного образования детей в Ханты-Мансийском автономном округе - Югре, утверждённых приказом Департамента образования и молодежной политики Ханты-Мансийского автономного округа - Югры от 04.08.2016 №1224 «Об утверждении Правил персонифицированного финансирования дополнительного образования детей в Ханты-Мансийском автономном округе – Югре», с целью развития системы дополнительного образования в городе Когалыме.</w:t>
      </w:r>
    </w:p>
    <w:p w:rsidR="00DD1B95" w:rsidRPr="008952DA" w:rsidRDefault="00DD1B95" w:rsidP="00FA7793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A7793" w:rsidRPr="008952DA" w:rsidRDefault="00FA7793" w:rsidP="00FA7793">
      <w:pPr>
        <w:jc w:val="both"/>
      </w:pPr>
    </w:p>
    <w:p w:rsidR="00FA7793" w:rsidRPr="008952DA" w:rsidRDefault="00FA7793" w:rsidP="00FA779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_Toc498075904"/>
      <w:r w:rsidRPr="008952DA">
        <w:rPr>
          <w:rFonts w:ascii="Times New Roman" w:hAnsi="Times New Roman" w:cs="Times New Roman"/>
          <w:color w:val="auto"/>
          <w:sz w:val="26"/>
          <w:szCs w:val="26"/>
        </w:rPr>
        <w:t>Здравоохранение</w:t>
      </w:r>
      <w:bookmarkEnd w:id="15"/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сфере здравоохранения основной целью на предстоящий период является улучшение состояния здоровья населения на основе повышения доступности и качества медицинской помощи путем предоставления необходимого объема медицинских услуг.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Основным учреждением здравоохранения в городе является бюджетное учреждение Ханты-Мансийского автономного округа – Югры «Когалымская городская больница», коечный фонд которого в 2017 году составляет </w:t>
      </w:r>
      <w:r w:rsidR="0052716F">
        <w:rPr>
          <w:rFonts w:ascii="Times New Roman" w:hAnsi="Times New Roman" w:cs="Times New Roman"/>
          <w:sz w:val="26"/>
          <w:szCs w:val="26"/>
        </w:rPr>
        <w:t>306</w:t>
      </w:r>
      <w:r w:rsidRPr="008952DA">
        <w:rPr>
          <w:rFonts w:ascii="Times New Roman" w:hAnsi="Times New Roman" w:cs="Times New Roman"/>
          <w:sz w:val="26"/>
          <w:szCs w:val="26"/>
        </w:rPr>
        <w:t xml:space="preserve"> единиц (2016 год – 321</w:t>
      </w:r>
      <w:r w:rsidR="0052716F">
        <w:rPr>
          <w:rFonts w:ascii="Times New Roman" w:hAnsi="Times New Roman" w:cs="Times New Roman"/>
          <w:sz w:val="26"/>
          <w:szCs w:val="26"/>
        </w:rPr>
        <w:t xml:space="preserve"> </w:t>
      </w:r>
      <w:r w:rsidRPr="008952DA">
        <w:rPr>
          <w:rFonts w:ascii="Times New Roman" w:hAnsi="Times New Roman" w:cs="Times New Roman"/>
          <w:sz w:val="26"/>
          <w:szCs w:val="26"/>
        </w:rPr>
        <w:t>ед.).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Пропускная способность амбулаторно-поликлинических подразделений больницы в 2017 году составляет 1 605 посещений в смену.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24575" cy="3248025"/>
            <wp:effectExtent l="0" t="0" r="0" b="0"/>
            <wp:docPr id="1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Обеспеченность больничными койками в 2018 году составит </w:t>
      </w:r>
      <w:r w:rsidR="0052716F">
        <w:rPr>
          <w:rFonts w:ascii="Times New Roman" w:hAnsi="Times New Roman" w:cs="Times New Roman"/>
          <w:sz w:val="26"/>
          <w:szCs w:val="26"/>
        </w:rPr>
        <w:t>45,8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коек на 10 тыс. населения, </w:t>
      </w:r>
      <w:r w:rsidRPr="0099291C">
        <w:rPr>
          <w:rFonts w:ascii="Times New Roman" w:hAnsi="Times New Roman" w:cs="Times New Roman"/>
          <w:sz w:val="26"/>
          <w:szCs w:val="26"/>
        </w:rPr>
        <w:t>или 3</w:t>
      </w:r>
      <w:r w:rsidR="0099291C" w:rsidRPr="0099291C">
        <w:rPr>
          <w:rFonts w:ascii="Times New Roman" w:hAnsi="Times New Roman" w:cs="Times New Roman"/>
          <w:sz w:val="26"/>
          <w:szCs w:val="26"/>
        </w:rPr>
        <w:t>5</w:t>
      </w:r>
      <w:r w:rsidRPr="0099291C">
        <w:rPr>
          <w:rFonts w:ascii="Times New Roman" w:hAnsi="Times New Roman" w:cs="Times New Roman"/>
          <w:sz w:val="26"/>
          <w:szCs w:val="26"/>
        </w:rPr>
        <w:t>% к</w:t>
      </w:r>
      <w:r w:rsidRPr="008952DA">
        <w:rPr>
          <w:rFonts w:ascii="Times New Roman" w:hAnsi="Times New Roman" w:cs="Times New Roman"/>
          <w:sz w:val="26"/>
          <w:szCs w:val="26"/>
        </w:rPr>
        <w:t xml:space="preserve"> нормативу, амбулаторно-поликлиническими учреждениями – </w:t>
      </w:r>
      <w:r w:rsidR="0052716F">
        <w:rPr>
          <w:rFonts w:ascii="Times New Roman" w:hAnsi="Times New Roman" w:cs="Times New Roman"/>
          <w:sz w:val="26"/>
          <w:szCs w:val="26"/>
        </w:rPr>
        <w:t>240,1</w:t>
      </w:r>
      <w:r w:rsidRPr="008952DA">
        <w:rPr>
          <w:rFonts w:ascii="Times New Roman" w:hAnsi="Times New Roman" w:cs="Times New Roman"/>
          <w:sz w:val="26"/>
          <w:szCs w:val="26"/>
        </w:rPr>
        <w:t xml:space="preserve"> посещений в смену на 10 тыс. населения, </w:t>
      </w:r>
      <w:r w:rsidRPr="0099291C">
        <w:rPr>
          <w:rFonts w:ascii="Times New Roman" w:hAnsi="Times New Roman" w:cs="Times New Roman"/>
          <w:sz w:val="26"/>
          <w:szCs w:val="26"/>
        </w:rPr>
        <w:t xml:space="preserve">или </w:t>
      </w:r>
      <w:r w:rsidR="0099291C" w:rsidRPr="0099291C">
        <w:rPr>
          <w:rFonts w:ascii="Times New Roman" w:hAnsi="Times New Roman" w:cs="Times New Roman"/>
          <w:sz w:val="26"/>
          <w:szCs w:val="26"/>
        </w:rPr>
        <w:t>136,4</w:t>
      </w:r>
      <w:r w:rsidRPr="0099291C">
        <w:rPr>
          <w:rFonts w:ascii="Times New Roman" w:hAnsi="Times New Roman" w:cs="Times New Roman"/>
          <w:sz w:val="26"/>
          <w:szCs w:val="26"/>
        </w:rPr>
        <w:t>%</w:t>
      </w:r>
      <w:r w:rsidRPr="008952DA">
        <w:rPr>
          <w:rFonts w:ascii="Times New Roman" w:hAnsi="Times New Roman" w:cs="Times New Roman"/>
          <w:sz w:val="26"/>
          <w:szCs w:val="26"/>
        </w:rPr>
        <w:t xml:space="preserve"> к нормативу.</w:t>
      </w:r>
    </w:p>
    <w:p w:rsidR="00FA7793" w:rsidRPr="0099291C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среднесрочной перспективе, в связи с увеличением численности населения города</w:t>
      </w:r>
      <w:r w:rsidR="0052716F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8952DA">
        <w:rPr>
          <w:rFonts w:ascii="Times New Roman" w:hAnsi="Times New Roman" w:cs="Times New Roman"/>
          <w:sz w:val="26"/>
          <w:szCs w:val="26"/>
        </w:rPr>
        <w:t>, обеспеченность больничными койками и амбулаторно-</w:t>
      </w:r>
      <w:r w:rsidRPr="0099291C">
        <w:rPr>
          <w:rFonts w:ascii="Times New Roman" w:hAnsi="Times New Roman" w:cs="Times New Roman"/>
          <w:sz w:val="26"/>
          <w:szCs w:val="26"/>
        </w:rPr>
        <w:t xml:space="preserve">поликлиническими учреждениями к нормативу продолжит снижаться и в 2024 году по прогнозу составит </w:t>
      </w:r>
      <w:r w:rsidR="0099291C" w:rsidRPr="0099291C">
        <w:rPr>
          <w:rFonts w:ascii="Times New Roman" w:hAnsi="Times New Roman" w:cs="Times New Roman"/>
          <w:sz w:val="26"/>
          <w:szCs w:val="26"/>
        </w:rPr>
        <w:t>31,3</w:t>
      </w:r>
      <w:r w:rsidRPr="0099291C">
        <w:rPr>
          <w:rFonts w:ascii="Times New Roman" w:hAnsi="Times New Roman" w:cs="Times New Roman"/>
          <w:sz w:val="26"/>
          <w:szCs w:val="26"/>
        </w:rPr>
        <w:t xml:space="preserve">% и </w:t>
      </w:r>
      <w:r w:rsidR="0099291C" w:rsidRPr="0099291C">
        <w:rPr>
          <w:rFonts w:ascii="Times New Roman" w:hAnsi="Times New Roman" w:cs="Times New Roman"/>
          <w:sz w:val="26"/>
          <w:szCs w:val="26"/>
        </w:rPr>
        <w:t>122</w:t>
      </w:r>
      <w:r w:rsidRPr="0099291C">
        <w:rPr>
          <w:rFonts w:ascii="Times New Roman" w:hAnsi="Times New Roman" w:cs="Times New Roman"/>
          <w:sz w:val="26"/>
          <w:szCs w:val="26"/>
        </w:rPr>
        <w:t>% соответственно.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91C">
        <w:rPr>
          <w:rFonts w:ascii="Times New Roman" w:hAnsi="Times New Roman" w:cs="Times New Roman"/>
          <w:sz w:val="26"/>
          <w:szCs w:val="26"/>
        </w:rPr>
        <w:t>Общая численность врачей в учреждении</w:t>
      </w:r>
      <w:r w:rsidRPr="008952DA">
        <w:rPr>
          <w:rFonts w:ascii="Times New Roman" w:hAnsi="Times New Roman" w:cs="Times New Roman"/>
          <w:sz w:val="26"/>
          <w:szCs w:val="26"/>
        </w:rPr>
        <w:t xml:space="preserve"> здравоохранения города Когалыма в 2018 году составит 248 человек, среднего медицинского персонала – 695 человек. </w:t>
      </w:r>
    </w:p>
    <w:p w:rsidR="00FA7793" w:rsidRPr="008952DA" w:rsidRDefault="00FA7793" w:rsidP="00FA77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_Toc498075905"/>
      <w:r w:rsidRPr="008952DA">
        <w:rPr>
          <w:rFonts w:ascii="Times New Roman" w:hAnsi="Times New Roman" w:cs="Times New Roman"/>
          <w:color w:val="auto"/>
          <w:sz w:val="26"/>
          <w:szCs w:val="26"/>
        </w:rPr>
        <w:t>Культура</w:t>
      </w:r>
      <w:bookmarkEnd w:id="16"/>
    </w:p>
    <w:p w:rsidR="00FA7793" w:rsidRPr="008952DA" w:rsidRDefault="00FA7793" w:rsidP="00FA77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Деятельность учреждений культуры в прогнозном периоде будет ориентирована на сохранение и развитие культурного потенциала и культурного наследия города Когалыма, формирование культурного пространства и создание условий для обеспечения равного доступа к культурным ценностям и информационным ресурсам жителей города, гармонизацию культурной жизни города Когалыма и интеграцию в общероссийский культурный процесс.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городе Когалыме осуществляют деятельность 3 учреждения культуры: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- </w:t>
      </w:r>
      <w:r w:rsidR="00147D1A">
        <w:rPr>
          <w:rFonts w:ascii="Times New Roman" w:hAnsi="Times New Roman" w:cs="Times New Roman"/>
          <w:sz w:val="26"/>
          <w:szCs w:val="26"/>
        </w:rPr>
        <w:t>муниципальное автономное учреждение</w:t>
      </w:r>
      <w:r w:rsidRPr="008952DA">
        <w:rPr>
          <w:rFonts w:ascii="Times New Roman" w:hAnsi="Times New Roman" w:cs="Times New Roman"/>
          <w:sz w:val="26"/>
          <w:szCs w:val="26"/>
        </w:rPr>
        <w:t xml:space="preserve"> «</w:t>
      </w:r>
      <w:r w:rsidR="00147D1A">
        <w:rPr>
          <w:rFonts w:ascii="Times New Roman" w:hAnsi="Times New Roman" w:cs="Times New Roman"/>
          <w:sz w:val="26"/>
          <w:szCs w:val="26"/>
        </w:rPr>
        <w:t>Культурно - досуговый комплекс</w:t>
      </w:r>
      <w:r w:rsidRPr="008952DA">
        <w:rPr>
          <w:rFonts w:ascii="Times New Roman" w:hAnsi="Times New Roman" w:cs="Times New Roman"/>
          <w:sz w:val="26"/>
          <w:szCs w:val="26"/>
        </w:rPr>
        <w:t xml:space="preserve"> «АРТ-Праздник», 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- </w:t>
      </w:r>
      <w:r w:rsidR="00147D1A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  <w:r w:rsidRPr="008952DA">
        <w:rPr>
          <w:rFonts w:ascii="Times New Roman" w:hAnsi="Times New Roman" w:cs="Times New Roman"/>
          <w:sz w:val="26"/>
          <w:szCs w:val="26"/>
        </w:rPr>
        <w:t xml:space="preserve"> «Централизованная библиотечная система»,</w:t>
      </w:r>
    </w:p>
    <w:p w:rsidR="00FA7793" w:rsidRPr="008952DA" w:rsidRDefault="00FA7793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- </w:t>
      </w:r>
      <w:r w:rsidR="00147D1A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  <w:r w:rsidRPr="008952DA">
        <w:rPr>
          <w:rFonts w:ascii="Times New Roman" w:hAnsi="Times New Roman" w:cs="Times New Roman"/>
          <w:sz w:val="26"/>
          <w:szCs w:val="26"/>
        </w:rPr>
        <w:t xml:space="preserve"> «Музейно-выставочный центр». </w:t>
      </w:r>
    </w:p>
    <w:p w:rsidR="00FA7793" w:rsidRPr="008952DA" w:rsidRDefault="00FA7793" w:rsidP="00FA7793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Библиотечная система города представлена муниципальным бюджетным учреждением «Централизованная библиотечная система» (далее - МБУ «ЦБС»), в состав которого входит Центральная городская библиотека с двумя филиалами. Книжный фонд МБУ «ЦБС» составляет 151 436 единиц.</w:t>
      </w:r>
    </w:p>
    <w:p w:rsidR="00FA7793" w:rsidRPr="008952DA" w:rsidRDefault="00147D1A" w:rsidP="00FA7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A7793" w:rsidRPr="008952DA">
        <w:rPr>
          <w:rFonts w:ascii="Times New Roman" w:hAnsi="Times New Roman" w:cs="Times New Roman"/>
          <w:sz w:val="26"/>
          <w:szCs w:val="26"/>
        </w:rPr>
        <w:t>узейное дело</w:t>
      </w:r>
      <w:r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FA7793" w:rsidRPr="008952DA">
        <w:rPr>
          <w:rFonts w:ascii="Times New Roman" w:hAnsi="Times New Roman" w:cs="Times New Roman"/>
          <w:sz w:val="26"/>
          <w:szCs w:val="26"/>
        </w:rPr>
        <w:t xml:space="preserve"> осуществляет муниципальное бюджетное учреждение «</w:t>
      </w:r>
      <w:proofErr w:type="spellStart"/>
      <w:r w:rsidR="00FA7793" w:rsidRPr="008952DA">
        <w:rPr>
          <w:rFonts w:ascii="Times New Roman" w:hAnsi="Times New Roman" w:cs="Times New Roman"/>
          <w:sz w:val="26"/>
          <w:szCs w:val="26"/>
        </w:rPr>
        <w:t>Музейно</w:t>
      </w:r>
      <w:proofErr w:type="spellEnd"/>
      <w:r w:rsidR="00FA7793" w:rsidRPr="008952DA">
        <w:rPr>
          <w:rFonts w:ascii="Times New Roman" w:hAnsi="Times New Roman" w:cs="Times New Roman"/>
          <w:sz w:val="26"/>
          <w:szCs w:val="26"/>
        </w:rPr>
        <w:t xml:space="preserve"> – выставочный центр»</w:t>
      </w:r>
      <w:r>
        <w:rPr>
          <w:rFonts w:ascii="Times New Roman" w:hAnsi="Times New Roman" w:cs="Times New Roman"/>
          <w:sz w:val="26"/>
          <w:szCs w:val="26"/>
        </w:rPr>
        <w:t xml:space="preserve"> (далее – МБУ «МВЦ», музей)</w:t>
      </w:r>
      <w:r w:rsidR="00FA7793" w:rsidRPr="008952DA">
        <w:rPr>
          <w:rFonts w:ascii="Times New Roman" w:hAnsi="Times New Roman" w:cs="Times New Roman"/>
          <w:sz w:val="26"/>
          <w:szCs w:val="26"/>
        </w:rPr>
        <w:t xml:space="preserve">. Основным направлением деятельности музея является: выявление, хранение и демонстрация исторических и художественных ценностей, проведение выставок, вернисажей, фестивалей, конкурсов, экскурсий. </w:t>
      </w:r>
      <w:r>
        <w:rPr>
          <w:rFonts w:ascii="Times New Roman" w:hAnsi="Times New Roman" w:cs="Times New Roman"/>
          <w:sz w:val="26"/>
          <w:szCs w:val="26"/>
        </w:rPr>
        <w:t>МБУ «МВЦ»</w:t>
      </w:r>
      <w:r w:rsidR="00FA7793" w:rsidRPr="008952DA">
        <w:rPr>
          <w:rFonts w:ascii="Times New Roman" w:hAnsi="Times New Roman" w:cs="Times New Roman"/>
          <w:sz w:val="26"/>
          <w:szCs w:val="26"/>
        </w:rPr>
        <w:t xml:space="preserve"> в городе Когалыме привлекает большое количество посетителей уникальностью стационарной экспозиции, в рамках которой предоставлены история города: становление нефтяной промышленности в регионе и достижения общества с ограниченной ответственностью «ЛУКОЙЛ – Западная Сибирь», природа и этнография Югры, быт, традиции коренного народа Севера, а также зал занимательной науки «</w:t>
      </w:r>
      <w:proofErr w:type="spellStart"/>
      <w:r w:rsidR="00FA7793" w:rsidRPr="008952DA">
        <w:rPr>
          <w:rFonts w:ascii="Times New Roman" w:hAnsi="Times New Roman" w:cs="Times New Roman"/>
          <w:sz w:val="26"/>
          <w:szCs w:val="26"/>
        </w:rPr>
        <w:t>Экспериментариум</w:t>
      </w:r>
      <w:proofErr w:type="spellEnd"/>
      <w:r w:rsidR="00FA7793" w:rsidRPr="008952DA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FA7793" w:rsidRPr="008952DA" w:rsidRDefault="00FA7793" w:rsidP="00FA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Большое внимание в предстоящий период будет уделяться сохранению и развитию дополнительного образования детей художественно-эстетической направленности, приобщению ребенка к духовной культуре.</w:t>
      </w:r>
    </w:p>
    <w:p w:rsidR="00FA7793" w:rsidRPr="008952DA" w:rsidRDefault="00FA7793" w:rsidP="00FA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целях сохранения и популяризации культурного наследия города Когалыма, повышения качества услуг, предоставляемых в области библиотечного, музейного и архивного дела в городе реализуется муниципальная программа «Развитие культуры в городе Когалыме» (далее – муниципальная программа).</w:t>
      </w:r>
    </w:p>
    <w:p w:rsidR="00FA7793" w:rsidRPr="008952DA" w:rsidRDefault="00FA7793" w:rsidP="00147D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Объем финансирования муниципальной программы на 2017 год составляет 1 210 468,7 тыс. рублей</w:t>
      </w:r>
      <w:r w:rsidR="00147D1A">
        <w:rPr>
          <w:rFonts w:ascii="Times New Roman" w:hAnsi="Times New Roman" w:cs="Times New Roman"/>
          <w:sz w:val="26"/>
          <w:szCs w:val="26"/>
        </w:rPr>
        <w:t xml:space="preserve">, </w:t>
      </w:r>
      <w:r w:rsidR="00932F62">
        <w:rPr>
          <w:rFonts w:ascii="Times New Roman" w:hAnsi="Times New Roman" w:cs="Times New Roman"/>
          <w:sz w:val="26"/>
          <w:szCs w:val="26"/>
        </w:rPr>
        <w:t xml:space="preserve">денежные средства освоены </w:t>
      </w:r>
      <w:r w:rsidR="00BB712F">
        <w:rPr>
          <w:rFonts w:ascii="Times New Roman" w:hAnsi="Times New Roman" w:cs="Times New Roman"/>
          <w:sz w:val="26"/>
          <w:szCs w:val="26"/>
        </w:rPr>
        <w:t>на 87,6%</w:t>
      </w:r>
      <w:r w:rsidR="00147D1A">
        <w:rPr>
          <w:rFonts w:ascii="Times New Roman" w:hAnsi="Times New Roman" w:cs="Times New Roman"/>
          <w:sz w:val="26"/>
          <w:szCs w:val="26"/>
        </w:rPr>
        <w:t>.</w:t>
      </w:r>
    </w:p>
    <w:p w:rsidR="00FA7793" w:rsidRPr="008952DA" w:rsidRDefault="00FA7793" w:rsidP="00FA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Основными задачами на 201</w:t>
      </w:r>
      <w:r w:rsidR="00932F62">
        <w:rPr>
          <w:rFonts w:ascii="Times New Roman" w:hAnsi="Times New Roman" w:cs="Times New Roman"/>
          <w:sz w:val="26"/>
          <w:szCs w:val="26"/>
        </w:rPr>
        <w:t>8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 и прогнозный период 201</w:t>
      </w:r>
      <w:r w:rsidR="00932F62">
        <w:rPr>
          <w:rFonts w:ascii="Times New Roman" w:hAnsi="Times New Roman" w:cs="Times New Roman"/>
          <w:sz w:val="26"/>
          <w:szCs w:val="26"/>
        </w:rPr>
        <w:t>9</w:t>
      </w:r>
      <w:r w:rsidRPr="008952DA">
        <w:rPr>
          <w:rFonts w:ascii="Times New Roman" w:hAnsi="Times New Roman" w:cs="Times New Roman"/>
          <w:sz w:val="26"/>
          <w:szCs w:val="26"/>
        </w:rPr>
        <w:t>-202</w:t>
      </w:r>
      <w:r w:rsidR="00932F62">
        <w:rPr>
          <w:rFonts w:ascii="Times New Roman" w:hAnsi="Times New Roman" w:cs="Times New Roman"/>
          <w:sz w:val="26"/>
          <w:szCs w:val="26"/>
        </w:rPr>
        <w:t>4</w:t>
      </w:r>
      <w:r w:rsidRPr="008952DA">
        <w:rPr>
          <w:rFonts w:ascii="Times New Roman" w:hAnsi="Times New Roman" w:cs="Times New Roman"/>
          <w:sz w:val="26"/>
          <w:szCs w:val="26"/>
        </w:rPr>
        <w:t xml:space="preserve"> годов является:</w:t>
      </w:r>
    </w:p>
    <w:p w:rsidR="00FA7793" w:rsidRPr="008952DA" w:rsidRDefault="00A61D7F" w:rsidP="00FA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FA7793" w:rsidRPr="008952DA">
        <w:rPr>
          <w:rFonts w:ascii="Times New Roman" w:hAnsi="Times New Roman" w:cs="Times New Roman"/>
          <w:sz w:val="26"/>
          <w:szCs w:val="26"/>
        </w:rPr>
        <w:t>охранение культурного наследия и обеспечение доступа граждан к участию в культурной жизни;</w:t>
      </w:r>
    </w:p>
    <w:p w:rsidR="00FA7793" w:rsidRPr="008952DA" w:rsidRDefault="00A61D7F" w:rsidP="00FA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FA7793" w:rsidRPr="008952DA">
        <w:rPr>
          <w:rFonts w:ascii="Times New Roman" w:hAnsi="Times New Roman" w:cs="Times New Roman"/>
          <w:sz w:val="26"/>
          <w:szCs w:val="26"/>
        </w:rPr>
        <w:t>оддержка профессиональной и творческой деятельности в процессе создания и представления произведений всех видов и форм культуры и искусства в городе Когалыме;</w:t>
      </w:r>
    </w:p>
    <w:p w:rsidR="00FA7793" w:rsidRPr="008952DA" w:rsidRDefault="00FA7793" w:rsidP="00FA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- </w:t>
      </w:r>
      <w:r w:rsidR="00A61D7F">
        <w:rPr>
          <w:rFonts w:ascii="Times New Roman" w:hAnsi="Times New Roman" w:cs="Times New Roman"/>
          <w:sz w:val="26"/>
          <w:szCs w:val="26"/>
        </w:rPr>
        <w:t>о</w:t>
      </w:r>
      <w:r w:rsidRPr="008952DA">
        <w:rPr>
          <w:rFonts w:ascii="Times New Roman" w:hAnsi="Times New Roman" w:cs="Times New Roman"/>
          <w:sz w:val="26"/>
          <w:szCs w:val="26"/>
        </w:rPr>
        <w:t>рганизационное, материально-техническое и информационное обеспечение реализации государственной культурной политики в городе Когалыме.</w:t>
      </w:r>
    </w:p>
    <w:p w:rsidR="009A7E51" w:rsidRPr="009A7E51" w:rsidRDefault="009A7E51" w:rsidP="009A7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E51">
        <w:rPr>
          <w:rFonts w:ascii="Times New Roman" w:hAnsi="Times New Roman" w:cs="Times New Roman"/>
          <w:sz w:val="26"/>
          <w:szCs w:val="26"/>
        </w:rPr>
        <w:t>Уровень обеспеченности населения города Когалыма библиотеками в 2017 году составлял 38% к нормативу, учреждениями культурно-досугового типа – 39% к нормативу, музеями – 50% (в соответствии с постановлением Правительства Ханты-Мансийского автономного округа – Югры от 01.04.2016 №92-п «О внесении изменений в приложение к постановлению Правительства Ханты-Мансийского автономного округа – Югры от 29 декабря 2014 года №534-п «Об утверждении региональных нормативов градостроительного проектирования Ханты-Мансийского автономного округа – Югры»).</w:t>
      </w:r>
    </w:p>
    <w:p w:rsidR="00FA7793" w:rsidRPr="008952DA" w:rsidRDefault="00FA7793" w:rsidP="00FA7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7" w:name="_Toc498075906"/>
      <w:r w:rsidRPr="008952DA">
        <w:rPr>
          <w:rFonts w:ascii="Times New Roman" w:hAnsi="Times New Roman" w:cs="Times New Roman"/>
          <w:color w:val="auto"/>
          <w:sz w:val="26"/>
          <w:szCs w:val="26"/>
        </w:rPr>
        <w:t>Физическая культура и спорт</w:t>
      </w:r>
      <w:bookmarkEnd w:id="17"/>
    </w:p>
    <w:p w:rsidR="00FA7793" w:rsidRPr="008952DA" w:rsidRDefault="00FA7793" w:rsidP="00FA77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области физической культуры и спорта будет уделяться большое внимание качественному улучшению физического состояния населения города </w:t>
      </w:r>
      <w:r w:rsidR="00932F62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8952DA">
        <w:rPr>
          <w:rFonts w:ascii="Times New Roman" w:hAnsi="Times New Roman" w:cs="Times New Roman"/>
          <w:sz w:val="26"/>
          <w:szCs w:val="26"/>
        </w:rPr>
        <w:t>и в первую очередь молодого поколения путем вовлечения детей и молодежи в регулярные физкультурно-спортивные занятия, развитию массовой физической культуры и спорта.</w:t>
      </w:r>
    </w:p>
    <w:p w:rsidR="00FA7793" w:rsidRPr="006B2E1D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городе </w:t>
      </w:r>
      <w:r w:rsidRPr="001310EF">
        <w:rPr>
          <w:rFonts w:ascii="Times New Roman" w:hAnsi="Times New Roman" w:cs="Times New Roman"/>
          <w:sz w:val="26"/>
          <w:szCs w:val="26"/>
        </w:rPr>
        <w:t>Когалыме функционирует 120 спортивных сооружений. Обеспеченность объектами физической культуры и спорта составляет: спортивными залами – 82%, плоскостными сооружениями – 38</w:t>
      </w:r>
      <w:r w:rsidR="001310EF" w:rsidRPr="001310EF">
        <w:rPr>
          <w:rFonts w:ascii="Times New Roman" w:hAnsi="Times New Roman" w:cs="Times New Roman"/>
          <w:sz w:val="26"/>
          <w:szCs w:val="26"/>
        </w:rPr>
        <w:t>,4</w:t>
      </w:r>
      <w:r w:rsidRPr="001310EF">
        <w:rPr>
          <w:rFonts w:ascii="Times New Roman" w:hAnsi="Times New Roman" w:cs="Times New Roman"/>
          <w:sz w:val="26"/>
          <w:szCs w:val="26"/>
        </w:rPr>
        <w:t>%. Пропускная способность спортивных сооружений составляет 4</w:t>
      </w:r>
      <w:r w:rsidR="006B2E1D" w:rsidRPr="001310EF">
        <w:rPr>
          <w:rFonts w:ascii="Times New Roman" w:hAnsi="Times New Roman" w:cs="Times New Roman"/>
          <w:sz w:val="26"/>
          <w:szCs w:val="26"/>
        </w:rPr>
        <w:t>4</w:t>
      </w:r>
      <w:r w:rsidRPr="001310EF">
        <w:rPr>
          <w:rFonts w:ascii="Times New Roman" w:hAnsi="Times New Roman" w:cs="Times New Roman"/>
          <w:sz w:val="26"/>
          <w:szCs w:val="26"/>
        </w:rPr>
        <w:t>% от норматива</w:t>
      </w:r>
      <w:r w:rsidR="006B2E1D" w:rsidRPr="001310EF">
        <w:rPr>
          <w:rFonts w:ascii="Times New Roman" w:hAnsi="Times New Roman" w:cs="Times New Roman"/>
          <w:sz w:val="26"/>
          <w:szCs w:val="26"/>
        </w:rPr>
        <w:t xml:space="preserve"> (в соответствии с постановлением Правительства Ханты-Мансийского автономного округа – Югры от 01.04.2016 №92-п «О внесении изменений в приложение</w:t>
      </w:r>
      <w:r w:rsidR="006B2E1D" w:rsidRPr="009A7E51">
        <w:rPr>
          <w:rFonts w:ascii="Times New Roman" w:hAnsi="Times New Roman" w:cs="Times New Roman"/>
          <w:sz w:val="26"/>
          <w:szCs w:val="26"/>
        </w:rPr>
        <w:t xml:space="preserve"> к постановлению Правительства Ханты-Мансийского автономного округа – Югры от 29 декабря 2014 года №534-п «Об утверждении региональных нормативов градостроительного проектирования Ханты-Мансийского автономного округа – Югры»).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Всего в городе Когалыме культивируется более 40 видов спорта. Наиболее популярные из них дзюдо, плавание, волейбол, мини-футбол, фигурное катание, хоккей и другое. Удельный вес населения, систематически занимающегося физической культурой и спортом</w:t>
      </w:r>
      <w:r w:rsidR="00C63BF1">
        <w:rPr>
          <w:rFonts w:ascii="Times New Roman" w:hAnsi="Times New Roman" w:cs="Times New Roman"/>
          <w:sz w:val="26"/>
          <w:szCs w:val="26"/>
        </w:rPr>
        <w:t>,</w:t>
      </w:r>
      <w:r w:rsidRPr="008952DA">
        <w:rPr>
          <w:rFonts w:ascii="Times New Roman" w:hAnsi="Times New Roman" w:cs="Times New Roman"/>
          <w:sz w:val="26"/>
          <w:szCs w:val="26"/>
        </w:rPr>
        <w:t xml:space="preserve"> в 2017 году составил 35,7% (2016 год – 34,3%).</w:t>
      </w:r>
      <w:r w:rsidRPr="008952DA">
        <w:rPr>
          <w:sz w:val="26"/>
          <w:szCs w:val="26"/>
        </w:rPr>
        <w:t xml:space="preserve"> 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С целью формирования у населения города устойчивого интереса и потребности в регулярных занятиях физической культурой и спортом в городе проводятся спортивные и спортивно-массовые зрелищные мероприятия.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целях дальнейшего развития физической культуры и спорта будет продолжена реализация муниципальной программы «Развитие физической культуры и спорта в городе Когалыме». Задачами программы является развитие массовой физической культуры и спорта, спортивной инфраструктуры, пропаганда здорового образа жизни, обеспечение успешного выступления спортсменов города Когалыма в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Общий объем финансирования муниципальной программы на 2017 год составляет 202 719,0 тыс. рублей. В 2017 году на реализацию мероприятий муниципальной программы было израсходовано </w:t>
      </w:r>
      <w:r w:rsidR="00BB712F">
        <w:rPr>
          <w:rFonts w:ascii="Times New Roman" w:hAnsi="Times New Roman" w:cs="Times New Roman"/>
          <w:sz w:val="26"/>
          <w:szCs w:val="26"/>
        </w:rPr>
        <w:t>187 578,5</w:t>
      </w:r>
      <w:r w:rsidRPr="008952DA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FA7793" w:rsidRPr="008952DA" w:rsidRDefault="00FA7793" w:rsidP="00FA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 xml:space="preserve">В целях агитации и пропаганды здорового образа жизни, популяризации видов спорта проводятся показательные выступления и соревнования на центральной площади в праздничные дни и юбилейные даты. </w:t>
      </w:r>
    </w:p>
    <w:p w:rsidR="00FA7793" w:rsidRPr="008952DA" w:rsidRDefault="00FA7793" w:rsidP="00FA7793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Спортсмены города Когалыма принимают участие во Всероссийских, окружных и комплексных спортивных мероприятиях Ханты-Мансийского автономного округа – Югры. В этих мероприятиях задействованы спортсмены города по видам спорта всех возрастных и социальных групп населения.</w:t>
      </w:r>
    </w:p>
    <w:p w:rsidR="00FA7793" w:rsidRPr="008952DA" w:rsidRDefault="00FA7793" w:rsidP="00FA7793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Основной проблемой в сфере физической культуры и спорта остается недостаточная обеспеченность спортивными объектами, однако в прогнозном периоде строительство данных объектов не планируется.</w:t>
      </w:r>
    </w:p>
    <w:p w:rsidR="00FA7793" w:rsidRPr="008952DA" w:rsidRDefault="00FA7793" w:rsidP="00FA77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5A30" w:rsidRPr="008952DA" w:rsidRDefault="00E34AC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8" w:name="_Toc498075907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="00105015"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. МАЛОЕ И СРЕДНЕЕ ПРЕДПРИНИМАТЕЛЬСТВО</w:t>
      </w:r>
      <w:bookmarkEnd w:id="18"/>
    </w:p>
    <w:p w:rsidR="00265D4D" w:rsidRPr="008952DA" w:rsidRDefault="00265D4D" w:rsidP="002B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Развитие малого и среднего бизнеса имеет огромное значение для экономики города. Это - занятость населения, социальная стабильность, формирование среднего класса, а также увеличение налоговых поступлений в бюджет</w:t>
      </w:r>
      <w:r w:rsidR="00C63BF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121BF" w:rsidRPr="008952DA" w:rsidRDefault="00B121BF" w:rsidP="00B121BF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356721" w:rsidRPr="008952D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предпринимательства, включая </w:t>
      </w:r>
      <w:proofErr w:type="spellStart"/>
      <w:r w:rsidRPr="008952DA">
        <w:rPr>
          <w:rFonts w:ascii="Times New Roman" w:hAnsi="Times New Roman" w:cs="Times New Roman"/>
          <w:sz w:val="26"/>
          <w:szCs w:val="26"/>
          <w:lang w:eastAsia="ru-RU"/>
        </w:rPr>
        <w:t>микропредприяти</w:t>
      </w:r>
      <w:r w:rsidR="009613AE" w:rsidRPr="008952DA">
        <w:rPr>
          <w:rFonts w:ascii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9613AE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составило </w:t>
      </w:r>
      <w:r w:rsidR="00C80355">
        <w:rPr>
          <w:rFonts w:ascii="Times New Roman" w:hAnsi="Times New Roman" w:cs="Times New Roman"/>
          <w:sz w:val="26"/>
          <w:szCs w:val="26"/>
          <w:lang w:eastAsia="ru-RU"/>
        </w:rPr>
        <w:t>467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единиц.</w:t>
      </w:r>
      <w:r w:rsidR="00172FDD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Источником информации являются данные Реестра субъектов малого и среднего предпринимательств</w:t>
      </w:r>
      <w:r w:rsidR="00C63BF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172FDD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и Управления федеральной службы государственной статистики по Тюменской области, Х</w:t>
      </w:r>
      <w:r w:rsidR="005144D9" w:rsidRPr="008952DA">
        <w:rPr>
          <w:rFonts w:ascii="Times New Roman" w:hAnsi="Times New Roman" w:cs="Times New Roman"/>
          <w:sz w:val="26"/>
          <w:szCs w:val="26"/>
          <w:lang w:eastAsia="ru-RU"/>
        </w:rPr>
        <w:t>анты-</w:t>
      </w:r>
      <w:r w:rsidR="00172FDD" w:rsidRPr="008952DA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="005144D9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ансийскому автономному округу - </w:t>
      </w:r>
      <w:r w:rsidR="00172FDD" w:rsidRPr="008952DA">
        <w:rPr>
          <w:rFonts w:ascii="Times New Roman" w:hAnsi="Times New Roman" w:cs="Times New Roman"/>
          <w:sz w:val="26"/>
          <w:szCs w:val="26"/>
          <w:lang w:eastAsia="ru-RU"/>
        </w:rPr>
        <w:t>Югре и Я</w:t>
      </w:r>
      <w:r w:rsidR="005144D9" w:rsidRPr="008952DA">
        <w:rPr>
          <w:rFonts w:ascii="Times New Roman" w:hAnsi="Times New Roman" w:cs="Times New Roman"/>
          <w:sz w:val="26"/>
          <w:szCs w:val="26"/>
          <w:lang w:eastAsia="ru-RU"/>
        </w:rPr>
        <w:t>мало-</w:t>
      </w:r>
      <w:r w:rsidR="00172FDD" w:rsidRPr="008952DA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5144D9" w:rsidRPr="008952DA">
        <w:rPr>
          <w:rFonts w:ascii="Times New Roman" w:hAnsi="Times New Roman" w:cs="Times New Roman"/>
          <w:sz w:val="26"/>
          <w:szCs w:val="26"/>
          <w:lang w:eastAsia="ru-RU"/>
        </w:rPr>
        <w:t>енецкому автономному округу</w:t>
      </w:r>
      <w:r w:rsidR="00172FDD" w:rsidRPr="008952D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121BF" w:rsidRPr="008952DA" w:rsidRDefault="00B121BF" w:rsidP="00643AF1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45835" cy="3800475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2018</w:t>
      </w:r>
      <w:r w:rsidR="00C21FE0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 по оценке составит 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1 746 единиц (рост к 2017 году – </w:t>
      </w:r>
      <w:r w:rsidR="00AD20C0">
        <w:rPr>
          <w:rFonts w:ascii="Times New Roman" w:hAnsi="Times New Roman" w:cs="Times New Roman"/>
          <w:sz w:val="26"/>
          <w:szCs w:val="26"/>
          <w:lang w:eastAsia="ru-RU"/>
        </w:rPr>
        <w:t>5,6</w:t>
      </w:r>
      <w:r w:rsidR="00C21FE0" w:rsidRPr="008952DA">
        <w:rPr>
          <w:rFonts w:ascii="Times New Roman" w:hAnsi="Times New Roman" w:cs="Times New Roman"/>
          <w:sz w:val="26"/>
          <w:szCs w:val="26"/>
          <w:lang w:eastAsia="ru-RU"/>
        </w:rPr>
        <w:t>%). В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прогнозном периоде, по базовому варианту, планируется сохранение </w:t>
      </w:r>
      <w:r w:rsidR="00C21FE0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положительной динамики роста 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количества малых и средних предприятий, включая </w:t>
      </w:r>
      <w:proofErr w:type="spellStart"/>
      <w:r w:rsidRPr="008952DA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8952DA">
        <w:rPr>
          <w:rFonts w:ascii="Times New Roman" w:hAnsi="Times New Roman" w:cs="Times New Roman"/>
          <w:sz w:val="26"/>
          <w:szCs w:val="26"/>
          <w:lang w:eastAsia="ru-RU"/>
        </w:rPr>
        <w:t>, и в целом к 20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</w:t>
      </w:r>
      <w:r w:rsidR="0049740C" w:rsidRPr="008952DA">
        <w:rPr>
          <w:rFonts w:ascii="Times New Roman" w:hAnsi="Times New Roman" w:cs="Times New Roman"/>
          <w:sz w:val="26"/>
          <w:szCs w:val="26"/>
          <w:lang w:eastAsia="ru-RU"/>
        </w:rPr>
        <w:t>составит 2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185</w:t>
      </w:r>
      <w:r w:rsidR="0049740C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единиц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410ED" w:rsidRPr="008952DA" w:rsidRDefault="00C410ED" w:rsidP="00C41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Структура малых и средних предприятий, включая </w:t>
      </w:r>
      <w:proofErr w:type="spellStart"/>
      <w:r w:rsidRPr="008952DA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8952DA">
        <w:rPr>
          <w:rFonts w:ascii="Times New Roman" w:hAnsi="Times New Roman" w:cs="Times New Roman"/>
          <w:sz w:val="26"/>
          <w:szCs w:val="26"/>
          <w:lang w:eastAsia="ru-RU"/>
        </w:rPr>
        <w:t>, по видам экономической деятельности в течение ряда лет постепенно менялась, в 201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доля предприятий, осуществляющих деятельность в сфере торговли,  технического обслуживания автотранспортных средств составила 24,3%, значительно возросла доля предприятий, осуществляющих деятельность в сфере транспортировки и связи – 18,4%, третье место в структуре малых и средних предприятий занимают предприятия сферы строительства – 13,0%, на долю предприятий сферы управления имуществом приходится 6,6%, на предприятия в сфере промышленности – 6,8%. </w:t>
      </w:r>
    </w:p>
    <w:p w:rsidR="00B121BF" w:rsidRPr="008952DA" w:rsidRDefault="00C410ED" w:rsidP="006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822530" cy="3136165"/>
            <wp:effectExtent l="19050" t="0" r="677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Среднесписочная численность работников малых и средних предприятий в 201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составила </w:t>
      </w:r>
      <w:r w:rsidR="00AD20C0">
        <w:rPr>
          <w:rFonts w:ascii="Times New Roman" w:hAnsi="Times New Roman" w:cs="Times New Roman"/>
          <w:sz w:val="26"/>
          <w:szCs w:val="26"/>
          <w:lang w:eastAsia="ru-RU"/>
        </w:rPr>
        <w:t>4,9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человек. </w:t>
      </w:r>
    </w:p>
    <w:p w:rsidR="00E1126E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численность работников малого и среднего предпринимательства по оценке составит </w:t>
      </w:r>
      <w:r w:rsidR="00AD20C0">
        <w:rPr>
          <w:rFonts w:ascii="Times New Roman" w:hAnsi="Times New Roman" w:cs="Times New Roman"/>
          <w:sz w:val="26"/>
          <w:szCs w:val="26"/>
          <w:lang w:eastAsia="ru-RU"/>
        </w:rPr>
        <w:t>5,0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</w:t>
      </w:r>
      <w:r w:rsidR="00AD20C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E1126E" w:rsidRPr="008952DA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4C00EE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1126E" w:rsidRPr="008952DA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>альнейш</w:t>
      </w:r>
      <w:r w:rsidR="004C00EE" w:rsidRPr="008952D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м </w:t>
      </w:r>
      <w:r w:rsidR="00E1126E" w:rsidRPr="008952DA">
        <w:rPr>
          <w:rFonts w:ascii="Times New Roman" w:hAnsi="Times New Roman" w:cs="Times New Roman"/>
          <w:sz w:val="26"/>
          <w:szCs w:val="26"/>
          <w:lang w:eastAsia="ru-RU"/>
        </w:rPr>
        <w:t>прогнозируется рост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по базовому варианту</w:t>
      </w:r>
      <w:r w:rsidR="00E1126E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 w:rsidR="00AD20C0">
        <w:rPr>
          <w:rFonts w:ascii="Times New Roman" w:hAnsi="Times New Roman" w:cs="Times New Roman"/>
          <w:sz w:val="26"/>
          <w:szCs w:val="26"/>
          <w:lang w:eastAsia="ru-RU"/>
        </w:rPr>
        <w:t>5,9 тыс. человек</w:t>
      </w:r>
      <w:r w:rsidR="00643AF1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в 2024</w:t>
      </w:r>
      <w:r w:rsidR="00E1126E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(за счет роста числа работающих на микро</w:t>
      </w:r>
      <w:r w:rsidR="00AD20C0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="00E1126E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предприятиях)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8C24CA" w:rsidRPr="008952DA" w:rsidRDefault="008C24CA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14720" cy="37814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68495F" w:rsidRPr="008952D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оборот малых и средних предприятий составил </w:t>
      </w:r>
      <w:r w:rsidR="00F03609">
        <w:rPr>
          <w:rFonts w:ascii="Times New Roman" w:hAnsi="Times New Roman" w:cs="Times New Roman"/>
          <w:sz w:val="26"/>
          <w:szCs w:val="26"/>
          <w:lang w:eastAsia="ru-RU"/>
        </w:rPr>
        <w:t>17,23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млн. рублей или </w:t>
      </w:r>
      <w:r w:rsidR="0068495F" w:rsidRPr="008952DA">
        <w:rPr>
          <w:rFonts w:ascii="Times New Roman" w:hAnsi="Times New Roman" w:cs="Times New Roman"/>
          <w:sz w:val="26"/>
          <w:szCs w:val="26"/>
          <w:lang w:eastAsia="ru-RU"/>
        </w:rPr>
        <w:t>101,6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% к 201</w:t>
      </w:r>
      <w:r w:rsidR="0068495F" w:rsidRPr="008952D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в действующих ценах</w:t>
      </w:r>
      <w:r w:rsidR="00F0360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Наибольший удельный вес в общем объеме произведенной малыми и средними предприятиями продукции в 201</w:t>
      </w:r>
      <w:r w:rsidR="0068495F" w:rsidRPr="008952D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приходился на предприятия, осуществляющие деятельность в сфере оптовой и розничной торговли – </w:t>
      </w:r>
      <w:r w:rsidR="007E1B41" w:rsidRPr="008952DA">
        <w:rPr>
          <w:rFonts w:ascii="Times New Roman" w:hAnsi="Times New Roman" w:cs="Times New Roman"/>
          <w:sz w:val="26"/>
          <w:szCs w:val="26"/>
          <w:lang w:eastAsia="ru-RU"/>
        </w:rPr>
        <w:t>40,7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%, в строительной сфере – </w:t>
      </w:r>
      <w:r w:rsidR="007E1B41" w:rsidRPr="008952DA">
        <w:rPr>
          <w:rFonts w:ascii="Times New Roman" w:hAnsi="Times New Roman" w:cs="Times New Roman"/>
          <w:sz w:val="26"/>
          <w:szCs w:val="26"/>
          <w:lang w:eastAsia="ru-RU"/>
        </w:rPr>
        <w:t>7,9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%, в сфере транспорта и связи – </w:t>
      </w:r>
      <w:r w:rsidR="007E1B41" w:rsidRPr="008952DA">
        <w:rPr>
          <w:rFonts w:ascii="Times New Roman" w:hAnsi="Times New Roman" w:cs="Times New Roman"/>
          <w:sz w:val="26"/>
          <w:szCs w:val="26"/>
          <w:lang w:eastAsia="ru-RU"/>
        </w:rPr>
        <w:t>10,7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>%,</w:t>
      </w: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Оборот малых и средних предприятий в 201</w:t>
      </w:r>
      <w:r w:rsidR="0068495F" w:rsidRPr="008952DA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ожидается в объеме </w:t>
      </w:r>
      <w:r w:rsidR="00F03609">
        <w:rPr>
          <w:rFonts w:ascii="Times New Roman" w:hAnsi="Times New Roman" w:cs="Times New Roman"/>
          <w:sz w:val="26"/>
          <w:szCs w:val="26"/>
          <w:lang w:eastAsia="ru-RU"/>
        </w:rPr>
        <w:t>17,36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млн. рублей, увеличившись на </w:t>
      </w:r>
      <w:r w:rsidR="00F03609">
        <w:rPr>
          <w:rFonts w:ascii="Times New Roman" w:hAnsi="Times New Roman" w:cs="Times New Roman"/>
          <w:sz w:val="26"/>
          <w:szCs w:val="26"/>
          <w:lang w:eastAsia="ru-RU"/>
        </w:rPr>
        <w:t>100,8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>% к уровню 201</w:t>
      </w:r>
      <w:r w:rsidR="00F03609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года в действующих ценах. </w:t>
      </w:r>
    </w:p>
    <w:p w:rsidR="00F03609" w:rsidRPr="008952DA" w:rsidRDefault="00F03609" w:rsidP="00F03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В среднесрочной перспективе, оборот малых и средних предприятий, включая </w:t>
      </w:r>
      <w:proofErr w:type="spellStart"/>
      <w:r w:rsidRPr="008952DA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составит от </w:t>
      </w:r>
      <w:r>
        <w:rPr>
          <w:rFonts w:ascii="Times New Roman" w:hAnsi="Times New Roman" w:cs="Times New Roman"/>
          <w:sz w:val="26"/>
          <w:szCs w:val="26"/>
          <w:lang w:eastAsia="ru-RU"/>
        </w:rPr>
        <w:t>17,64 млн. рублей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в 2019 году до </w:t>
      </w:r>
      <w:r>
        <w:rPr>
          <w:rFonts w:ascii="Times New Roman" w:hAnsi="Times New Roman" w:cs="Times New Roman"/>
          <w:sz w:val="26"/>
          <w:szCs w:val="26"/>
          <w:lang w:eastAsia="ru-RU"/>
        </w:rPr>
        <w:t>19,09 млн. рублей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в 202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по базовому варианту развития.  </w:t>
      </w:r>
    </w:p>
    <w:p w:rsidR="009209E7" w:rsidRPr="008952DA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создания благоприятных условий для развития малого и среднего предпринимательства, обеспечения занятости населения, насыщения рынка товарами и услугами в городе Когалыме продолжается реализация подпрограммы «Развитие малого и среднего предпринимательства в городе Когалыме» (далее – подпрограмма РМСП) в рамках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№2919. </w:t>
      </w:r>
    </w:p>
    <w:p w:rsidR="009209E7" w:rsidRPr="008952DA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Всего в 2017 году на развитие малого и среднего предпринимательства выделено 6 706,9</w:t>
      </w:r>
      <w:r w:rsidR="007B6B5C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(2016 год – 7 753,2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рублей), из них:</w:t>
      </w:r>
    </w:p>
    <w:p w:rsidR="009209E7" w:rsidRPr="008952DA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- 2 527,0 тыс. рублей – средства бюджета Ханты–Мансийского автономного округа - Югры;</w:t>
      </w:r>
    </w:p>
    <w:p w:rsidR="009209E7" w:rsidRPr="008952DA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- 4 179,9 тыс. руб. – средства бюджета города Когалыма.</w:t>
      </w:r>
    </w:p>
    <w:p w:rsidR="00B121BF" w:rsidRPr="008952DA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благоприятных условий для поддержки и развития малого и среднего предпринимательства, а также оказание услуг субъектам малого и среднего предпринимательства, предоставление им консультационной, финансовой и иной материальной помощи в городе Когалыме осуществляют организации, образующие инфраструктуру поддержки субъектов малого и среднего предпринимательства. </w:t>
      </w:r>
    </w:p>
    <w:p w:rsidR="00B121BF" w:rsidRPr="008952DA" w:rsidRDefault="00B121BF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Активно работает Координационный совет по развитию малого и среднего предпринимательства в городе Когалыме. </w:t>
      </w:r>
      <w:r w:rsidR="003E0557">
        <w:rPr>
          <w:rFonts w:ascii="Times New Roman" w:hAnsi="Times New Roman" w:cs="Times New Roman"/>
          <w:sz w:val="26"/>
          <w:szCs w:val="26"/>
          <w:lang w:eastAsia="ru-RU"/>
        </w:rPr>
        <w:t xml:space="preserve">В 2017 году был обновлен состав </w:t>
      </w:r>
      <w:r w:rsidR="003E0557" w:rsidRPr="008952DA">
        <w:rPr>
          <w:rFonts w:ascii="Times New Roman" w:hAnsi="Times New Roman" w:cs="Times New Roman"/>
          <w:sz w:val="26"/>
          <w:szCs w:val="26"/>
          <w:lang w:eastAsia="ru-RU"/>
        </w:rPr>
        <w:t>Координационн</w:t>
      </w:r>
      <w:r w:rsidR="003E0557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3E0557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совет</w:t>
      </w:r>
      <w:r w:rsidR="003E0557">
        <w:rPr>
          <w:rFonts w:ascii="Times New Roman" w:hAnsi="Times New Roman" w:cs="Times New Roman"/>
          <w:sz w:val="26"/>
          <w:szCs w:val="26"/>
          <w:lang w:eastAsia="ru-RU"/>
        </w:rPr>
        <w:t>а, в который включены 4 субъекта малого и среднего предпринимательства.</w:t>
      </w:r>
    </w:p>
    <w:p w:rsidR="00B121BF" w:rsidRPr="008952DA" w:rsidRDefault="00B121BF" w:rsidP="00B121BF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 прогнозном периоде будет продолжена реализация мероприятий в сфере малого и среднего бизнеса, направленных на стимулирование предпринимательской деятельности, улучшение предпринимательского климата, сокращение административных ограничений.</w:t>
      </w:r>
    </w:p>
    <w:p w:rsidR="00B121BF" w:rsidRPr="008952DA" w:rsidRDefault="00B121BF" w:rsidP="00B121BF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 целом устойчивое развитие малого и среднего предпринимательства в прогнозируемом периоде, по-прежнему, будет обеспечивать экономическую и социальную стабильность в городе.</w:t>
      </w:r>
    </w:p>
    <w:p w:rsidR="00CF1094" w:rsidRPr="008952DA" w:rsidRDefault="00CF1094" w:rsidP="00105015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17093" w:rsidRPr="008952DA" w:rsidRDefault="00B17093" w:rsidP="00B17093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9" w:name="_Toc498075908"/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1</w:t>
      </w:r>
      <w:r w:rsidR="00E34AC6"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0</w:t>
      </w:r>
      <w:r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 </w:t>
      </w:r>
      <w:r w:rsidR="00CF1094" w:rsidRPr="008952DA">
        <w:rPr>
          <w:rFonts w:ascii="Times New Roman" w:hAnsi="Times New Roman" w:cs="Times New Roman"/>
          <w:b/>
          <w:bCs/>
          <w:color w:val="auto"/>
          <w:sz w:val="26"/>
          <w:szCs w:val="26"/>
        </w:rPr>
        <w:t>БЮДЖЕТ ГОРОДА КОГАЛЫМА</w:t>
      </w:r>
      <w:bookmarkEnd w:id="19"/>
    </w:p>
    <w:p w:rsidR="002A2588" w:rsidRPr="008952DA" w:rsidRDefault="002A2588" w:rsidP="002A2588"/>
    <w:p w:rsidR="000A5129" w:rsidRDefault="00890C6B" w:rsidP="00890C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0C6B">
        <w:rPr>
          <w:rFonts w:ascii="Times New Roman" w:hAnsi="Times New Roman" w:cs="Times New Roman"/>
          <w:sz w:val="26"/>
          <w:szCs w:val="26"/>
          <w:lang w:eastAsia="ru-RU"/>
        </w:rPr>
        <w:t xml:space="preserve">Одной из составляющих бюджетной системы города </w:t>
      </w:r>
      <w:r w:rsidR="000A5129">
        <w:rPr>
          <w:rFonts w:ascii="Times New Roman" w:hAnsi="Times New Roman" w:cs="Times New Roman"/>
          <w:sz w:val="26"/>
          <w:szCs w:val="26"/>
          <w:lang w:eastAsia="ru-RU"/>
        </w:rPr>
        <w:t xml:space="preserve">Когалыма </w:t>
      </w:r>
      <w:r w:rsidRPr="00890C6B">
        <w:rPr>
          <w:rFonts w:ascii="Times New Roman" w:hAnsi="Times New Roman" w:cs="Times New Roman"/>
          <w:sz w:val="26"/>
          <w:szCs w:val="26"/>
          <w:lang w:eastAsia="ru-RU"/>
        </w:rPr>
        <w:t>являются налоговые доходы</w:t>
      </w:r>
      <w:r w:rsidR="000A512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90C6B" w:rsidRPr="00890C6B" w:rsidRDefault="00890C6B" w:rsidP="00890C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0C6B">
        <w:rPr>
          <w:rFonts w:ascii="Times New Roman" w:hAnsi="Times New Roman" w:cs="Times New Roman"/>
          <w:sz w:val="26"/>
          <w:szCs w:val="26"/>
          <w:lang w:eastAsia="ru-RU"/>
        </w:rPr>
        <w:t>Объем налоговых поступлений в бюджеты всех уровней Российской Федерации за 2017 год увеличился по отношению к аналогичному периоду прошлого года. По данным Управления Федеральной налоговой службы по Ханты-Мансийскому автономному округу - Югре, с территории города Когалыма поступило свыше 335,3 млрд. рублей налогов, сборов и иных обязательных платежей или 127,1% к уровню аналогичного периода прошлого года (2016 год - 263,8 млрд. рублей). При этом, снижение наблюдается по налогу на прибыль организаций: в 2017 год</w:t>
      </w:r>
      <w:r w:rsidR="00E811A8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890C6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поступления этих налогов составили 13,2 млрд. рублей, что ниже аналогичного периода прошлого года на 19,6%. Увеличение наблюдается по поступлениям налога на добычу полезных ископаемых в виде углеводородного сырья, в 2017 год</w:t>
      </w:r>
      <w:r w:rsidR="00E811A8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890C6B">
        <w:rPr>
          <w:rFonts w:ascii="Times New Roman" w:hAnsi="Times New Roman" w:cs="Times New Roman"/>
          <w:sz w:val="26"/>
          <w:szCs w:val="26"/>
          <w:lang w:eastAsia="ru-RU"/>
        </w:rPr>
        <w:t xml:space="preserve"> такие поступления составили 272,7 млрд. рублей, что на 32,1% выше поступлений за аналогичный период прошлого года (2016 год - 206,4 млрд. рублей). Удельный вес этих поступлений в общем объеме налоговых платежей в 2016 год</w:t>
      </w:r>
      <w:r w:rsidR="00E811A8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890C6B">
        <w:rPr>
          <w:rFonts w:ascii="Times New Roman" w:hAnsi="Times New Roman" w:cs="Times New Roman"/>
          <w:sz w:val="26"/>
          <w:szCs w:val="26"/>
          <w:lang w:eastAsia="ru-RU"/>
        </w:rPr>
        <w:t xml:space="preserve"> составлял 78,3%, в 2017 год</w:t>
      </w:r>
      <w:r w:rsidR="00E811A8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890C6B">
        <w:rPr>
          <w:rFonts w:ascii="Times New Roman" w:hAnsi="Times New Roman" w:cs="Times New Roman"/>
          <w:sz w:val="26"/>
          <w:szCs w:val="26"/>
          <w:lang w:eastAsia="ru-RU"/>
        </w:rPr>
        <w:t xml:space="preserve"> - 81,3%. Произошло повышение поступлений налога на добавленную стоимость, в 2017 год</w:t>
      </w:r>
      <w:r w:rsidR="00E811A8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890C6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поступления этого налога составили 119,4% к уровню аналогичного периода прошлого года, или 42,1 млрд. рублей.</w:t>
      </w:r>
    </w:p>
    <w:p w:rsidR="00890C6B" w:rsidRPr="00890C6B" w:rsidRDefault="00890C6B" w:rsidP="00890C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0C6B">
        <w:rPr>
          <w:rFonts w:ascii="Times New Roman" w:hAnsi="Times New Roman" w:cs="Times New Roman"/>
          <w:sz w:val="26"/>
          <w:szCs w:val="26"/>
          <w:lang w:eastAsia="ru-RU"/>
        </w:rPr>
        <w:t>Доля поступлений в бюджет города Когалыма в общем объеме налогов, сборов и иных обязательных платежей в консолидированный бюджет Российской Федерации незначительно снизилась к соответствующему периоду 2016 года и составила 0,4%.</w:t>
      </w:r>
    </w:p>
    <w:p w:rsidR="00674E51" w:rsidRDefault="00674E51" w:rsidP="00674E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168D5" w:rsidRPr="008952DA" w:rsidRDefault="00E168D5" w:rsidP="00674E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E3328" w:rsidRPr="008952DA" w:rsidRDefault="008E3328" w:rsidP="00674E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b/>
          <w:sz w:val="26"/>
          <w:szCs w:val="26"/>
          <w:lang w:eastAsia="ru-RU"/>
        </w:rPr>
        <w:t>Налоговые поступления по уровням бюджета</w:t>
      </w:r>
    </w:p>
    <w:p w:rsidR="008E3328" w:rsidRPr="008952DA" w:rsidRDefault="008E3328" w:rsidP="00674E5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8952DA">
        <w:rPr>
          <w:rFonts w:ascii="Times New Roman" w:hAnsi="Times New Roman" w:cs="Times New Roman"/>
          <w:i/>
          <w:sz w:val="20"/>
          <w:szCs w:val="20"/>
          <w:lang w:eastAsia="ru-RU"/>
        </w:rPr>
        <w:t>млрд.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788"/>
        <w:gridCol w:w="1786"/>
        <w:gridCol w:w="1321"/>
      </w:tblGrid>
      <w:tr w:rsidR="00890C6B" w:rsidRPr="008952DA" w:rsidTr="00890C6B">
        <w:trPr>
          <w:trHeight w:val="503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Сумма налоговых поступлений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январь – декабрь</w:t>
            </w:r>
          </w:p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2016 г.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январь – декабрь </w:t>
            </w:r>
          </w:p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2017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Темп роста, %</w:t>
            </w:r>
          </w:p>
        </w:tc>
      </w:tr>
      <w:tr w:rsidR="00890C6B" w:rsidRPr="008952DA" w:rsidTr="00890C6B">
        <w:trPr>
          <w:trHeight w:val="245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В бюджеты всех уровней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263,8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335,3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127,1</w:t>
            </w: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В федеральный бюджет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244,0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318,1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130,4</w:t>
            </w: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92,5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94,9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В окружной бюджет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14,3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12,7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88,8</w:t>
            </w: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В бюджет Тюменской области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4,2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3,1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73,8</w:t>
            </w: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В местный бюджет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1,3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1,4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b/>
                <w:sz w:val="26"/>
                <w:szCs w:val="26"/>
              </w:rPr>
              <w:t>107,7</w:t>
            </w:r>
          </w:p>
        </w:tc>
      </w:tr>
      <w:tr w:rsidR="00890C6B" w:rsidRPr="008952DA" w:rsidTr="00890C6B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C6B" w:rsidRPr="008952DA" w:rsidRDefault="00890C6B" w:rsidP="00890C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2D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B" w:rsidRPr="008952DA" w:rsidRDefault="00890C6B" w:rsidP="0089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3328" w:rsidRPr="008952DA" w:rsidRDefault="008E3328" w:rsidP="0067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17093" w:rsidRPr="008952DA" w:rsidRDefault="00B17093" w:rsidP="00890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Главный приоритет, заложенный в основу бюджета города </w:t>
      </w:r>
      <w:r w:rsidR="00D759B3"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>базовый принцип бюджетной политики города Когалыма на ближайшее время, это обеспечение устойчивости и сбалансированности бюджета города в среднесрочном периоде, концентрация ресурсов на приоритетных направлениях расходов, предусмотренных муниципальными программами, сохранение социальной направленности бюджета города, обеспечивающей повышение качества жизни населения города Когалыма.</w:t>
      </w:r>
    </w:p>
    <w:p w:rsidR="00C03167" w:rsidRPr="008952DA" w:rsidRDefault="00C03167" w:rsidP="00C0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доходной базы бюджета города Когалыма осуществлено на основе действующего федерального и регионального бюджетного и налогового законодательства, с учётом нормативно-правовых требований Бюджетного и Налогового Кодексов Российской Федерации, нормативных правовых актов </w:t>
      </w:r>
      <w:r w:rsidR="002C024D">
        <w:rPr>
          <w:rFonts w:ascii="Times New Roman" w:hAnsi="Times New Roman" w:cs="Times New Roman"/>
          <w:sz w:val="26"/>
          <w:szCs w:val="26"/>
          <w:lang w:eastAsia="ru-RU"/>
        </w:rPr>
        <w:t xml:space="preserve">Ханты-Мансийского 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>автономного округа</w:t>
      </w:r>
      <w:r w:rsidR="00287F08">
        <w:rPr>
          <w:rFonts w:ascii="Times New Roman" w:hAnsi="Times New Roman" w:cs="Times New Roman"/>
          <w:sz w:val="26"/>
          <w:szCs w:val="26"/>
          <w:lang w:eastAsia="ru-RU"/>
        </w:rPr>
        <w:t xml:space="preserve"> - Югры</w:t>
      </w:r>
      <w:bookmarkStart w:id="20" w:name="_GoBack"/>
      <w:bookmarkEnd w:id="20"/>
      <w:r w:rsidRPr="008952DA">
        <w:rPr>
          <w:rFonts w:ascii="Times New Roman" w:hAnsi="Times New Roman" w:cs="Times New Roman"/>
          <w:sz w:val="26"/>
          <w:szCs w:val="26"/>
          <w:lang w:eastAsia="ru-RU"/>
        </w:rPr>
        <w:t>, муниципального образования изменений и дополнений к ним.</w:t>
      </w:r>
    </w:p>
    <w:p w:rsidR="00890C6B" w:rsidRPr="001310EF" w:rsidRDefault="00C03167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 отношении расходов, политика бюджета города Когалыма направлена на исполнение социальных обязательств и концентрацию ресурсов на ключевых социально значимых направлениях. В 201</w:t>
      </w:r>
      <w:r w:rsidR="00890C6B" w:rsidRPr="008952D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2C024D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сохранена приоритетность в финансировании отраслей социальной сферы, включая расходы на образование, здравоохранение, физическую культуру и спорт, социальную политику, культуру. Удельный вес этих расходов </w:t>
      </w:r>
      <w:r w:rsidRPr="00E168D5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составил </w:t>
      </w:r>
      <w:r w:rsidR="00890C6B" w:rsidRPr="00E168D5">
        <w:rPr>
          <w:rFonts w:ascii="Times New Roman" w:hAnsi="Times New Roman" w:cs="Times New Roman"/>
          <w:sz w:val="26"/>
          <w:szCs w:val="26"/>
          <w:lang w:eastAsia="ru-RU"/>
        </w:rPr>
        <w:t>66,5</w:t>
      </w:r>
      <w:r w:rsidRPr="00E168D5">
        <w:rPr>
          <w:rFonts w:ascii="Times New Roman" w:hAnsi="Times New Roman" w:cs="Times New Roman"/>
          <w:sz w:val="26"/>
          <w:szCs w:val="26"/>
          <w:lang w:eastAsia="ru-RU"/>
        </w:rPr>
        <w:t>%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объема расходов бюджета города Когалыма. В среднесрочной перспективе </w:t>
      </w:r>
      <w:r w:rsidRPr="001310EF">
        <w:rPr>
          <w:rFonts w:ascii="Times New Roman" w:hAnsi="Times New Roman" w:cs="Times New Roman"/>
          <w:sz w:val="26"/>
          <w:szCs w:val="26"/>
          <w:lang w:eastAsia="ru-RU"/>
        </w:rPr>
        <w:t>этот принцип будет сохранен</w:t>
      </w:r>
      <w:r w:rsidR="00890C6B" w:rsidRPr="001310E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03167" w:rsidRPr="001310EF" w:rsidRDefault="00C03167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10EF">
        <w:rPr>
          <w:rFonts w:ascii="Times New Roman" w:hAnsi="Times New Roman" w:cs="Times New Roman"/>
          <w:sz w:val="26"/>
          <w:szCs w:val="26"/>
          <w:lang w:eastAsia="ru-RU"/>
        </w:rPr>
        <w:t xml:space="preserve">Бюджетная обеспеченность на душу населения составила </w:t>
      </w:r>
      <w:r w:rsidR="00890C6B" w:rsidRPr="001310EF">
        <w:rPr>
          <w:rFonts w:ascii="Times New Roman" w:hAnsi="Times New Roman" w:cs="Times New Roman"/>
          <w:sz w:val="26"/>
          <w:szCs w:val="26"/>
          <w:lang w:eastAsia="ru-RU"/>
        </w:rPr>
        <w:t>78,</w:t>
      </w:r>
      <w:r w:rsidR="001310EF" w:rsidRPr="001310EF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1310EF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90E2A" w:rsidRPr="008952DA" w:rsidRDefault="0004742C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10EF">
        <w:rPr>
          <w:rFonts w:ascii="Times New Roman" w:hAnsi="Times New Roman" w:cs="Times New Roman"/>
          <w:sz w:val="26"/>
          <w:szCs w:val="26"/>
          <w:lang w:eastAsia="ru-RU"/>
        </w:rPr>
        <w:t xml:space="preserve">Как и ранее, у </w:t>
      </w:r>
      <w:r w:rsidR="002C024D" w:rsidRPr="001310EF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  <w:r w:rsidRPr="001310EF">
        <w:rPr>
          <w:rFonts w:ascii="Times New Roman" w:hAnsi="Times New Roman" w:cs="Times New Roman"/>
          <w:sz w:val="26"/>
          <w:szCs w:val="26"/>
          <w:lang w:eastAsia="ru-RU"/>
        </w:rPr>
        <w:t xml:space="preserve"> отсутствует муниципальный долг, а также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просроченная кредиторская задолженность по обязательствам, что свидетельствует о стабильности финансового положения.</w:t>
      </w:r>
    </w:p>
    <w:p w:rsidR="0004742C" w:rsidRPr="008952DA" w:rsidRDefault="0004742C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Определение параметров бюджета города</w:t>
      </w:r>
      <w:r w:rsidR="002C024D">
        <w:rPr>
          <w:rFonts w:ascii="Times New Roman" w:hAnsi="Times New Roman" w:cs="Times New Roman"/>
          <w:sz w:val="26"/>
          <w:szCs w:val="26"/>
          <w:lang w:eastAsia="ru-RU"/>
        </w:rPr>
        <w:t xml:space="preserve"> Когалыма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по уровню дефицита бюджета осуществлялось исходя из возможных источников финансирования, а также из необходимости соблюдения сбалансированности бюджета города. </w:t>
      </w:r>
    </w:p>
    <w:p w:rsidR="0004742C" w:rsidRPr="008952DA" w:rsidRDefault="0004742C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В целях обеспечения прозрачности и открытости муниципальных финансов, повышения доступности и понятности информации о бюджете города Когалыма в 201</w:t>
      </w:r>
      <w:r w:rsidR="00890C6B" w:rsidRPr="008952D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952DA">
        <w:rPr>
          <w:rFonts w:ascii="Times New Roman" w:hAnsi="Times New Roman" w:cs="Times New Roman"/>
          <w:sz w:val="26"/>
          <w:szCs w:val="26"/>
          <w:lang w:eastAsia="ru-RU"/>
        </w:rPr>
        <w:t xml:space="preserve"> году была продолжена регулярная публикация информационных ресурсов «Бюджет для граждан», «Открытый бюджет». </w:t>
      </w:r>
    </w:p>
    <w:p w:rsidR="00C03167" w:rsidRPr="008952DA" w:rsidRDefault="00674E51" w:rsidP="00674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952DA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sectPr w:rsidR="00C03167" w:rsidRPr="008952DA" w:rsidSect="003D144B">
      <w:pgSz w:w="11906" w:h="16838"/>
      <w:pgMar w:top="1418" w:right="1701" w:bottom="1440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91C" w:rsidRDefault="0099291C">
      <w:r>
        <w:separator/>
      </w:r>
    </w:p>
  </w:endnote>
  <w:endnote w:type="continuationSeparator" w:id="0">
    <w:p w:rsidR="0099291C" w:rsidRDefault="0099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1C" w:rsidRDefault="0099291C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87F08">
      <w:rPr>
        <w:noProof/>
      </w:rPr>
      <w:t>32</w:t>
    </w:r>
    <w:r>
      <w:rPr>
        <w:noProof/>
      </w:rPr>
      <w:fldChar w:fldCharType="end"/>
    </w:r>
  </w:p>
  <w:p w:rsidR="0099291C" w:rsidRDefault="0099291C" w:rsidP="00D81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91C" w:rsidRDefault="0099291C">
      <w:r>
        <w:separator/>
      </w:r>
    </w:p>
  </w:footnote>
  <w:footnote w:type="continuationSeparator" w:id="0">
    <w:p w:rsidR="0099291C" w:rsidRDefault="00992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507D"/>
    <w:multiLevelType w:val="hybridMultilevel"/>
    <w:tmpl w:val="66EE3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0212"/>
    <w:multiLevelType w:val="hybridMultilevel"/>
    <w:tmpl w:val="1C067D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22DA9"/>
    <w:multiLevelType w:val="hybridMultilevel"/>
    <w:tmpl w:val="7018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68CA"/>
    <w:multiLevelType w:val="hybridMultilevel"/>
    <w:tmpl w:val="AFB095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 w15:restartNumberingAfterBreak="0">
    <w:nsid w:val="54D940B0"/>
    <w:multiLevelType w:val="hybridMultilevel"/>
    <w:tmpl w:val="8CA2B000"/>
    <w:lvl w:ilvl="0" w:tplc="D802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E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C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A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0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359238C"/>
    <w:multiLevelType w:val="multilevel"/>
    <w:tmpl w:val="F648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79"/>
    <w:rsid w:val="000002D4"/>
    <w:rsid w:val="000003E4"/>
    <w:rsid w:val="00000626"/>
    <w:rsid w:val="00001134"/>
    <w:rsid w:val="00002D87"/>
    <w:rsid w:val="000035DE"/>
    <w:rsid w:val="000057BD"/>
    <w:rsid w:val="00006953"/>
    <w:rsid w:val="00006D19"/>
    <w:rsid w:val="000109A3"/>
    <w:rsid w:val="000111BC"/>
    <w:rsid w:val="00011E83"/>
    <w:rsid w:val="000122C3"/>
    <w:rsid w:val="00013986"/>
    <w:rsid w:val="00014DEC"/>
    <w:rsid w:val="00015C4B"/>
    <w:rsid w:val="00015D2E"/>
    <w:rsid w:val="000167E4"/>
    <w:rsid w:val="00025EF1"/>
    <w:rsid w:val="00026560"/>
    <w:rsid w:val="00026A04"/>
    <w:rsid w:val="00026D11"/>
    <w:rsid w:val="0002721A"/>
    <w:rsid w:val="00031568"/>
    <w:rsid w:val="0003222E"/>
    <w:rsid w:val="0003314C"/>
    <w:rsid w:val="000331CB"/>
    <w:rsid w:val="000342F7"/>
    <w:rsid w:val="00036704"/>
    <w:rsid w:val="00036A61"/>
    <w:rsid w:val="00040F8D"/>
    <w:rsid w:val="0004120F"/>
    <w:rsid w:val="00041D30"/>
    <w:rsid w:val="0004285B"/>
    <w:rsid w:val="00042C44"/>
    <w:rsid w:val="00042E8B"/>
    <w:rsid w:val="0004320B"/>
    <w:rsid w:val="00043F7B"/>
    <w:rsid w:val="00044686"/>
    <w:rsid w:val="000450D9"/>
    <w:rsid w:val="00046CEF"/>
    <w:rsid w:val="0004742C"/>
    <w:rsid w:val="00051BE3"/>
    <w:rsid w:val="0005221D"/>
    <w:rsid w:val="00052365"/>
    <w:rsid w:val="00053AD1"/>
    <w:rsid w:val="00053AD2"/>
    <w:rsid w:val="00057175"/>
    <w:rsid w:val="000610E8"/>
    <w:rsid w:val="000614A1"/>
    <w:rsid w:val="00063106"/>
    <w:rsid w:val="000676D4"/>
    <w:rsid w:val="00067FB1"/>
    <w:rsid w:val="00070B64"/>
    <w:rsid w:val="00071238"/>
    <w:rsid w:val="000715A5"/>
    <w:rsid w:val="00074595"/>
    <w:rsid w:val="000751F0"/>
    <w:rsid w:val="00080D8B"/>
    <w:rsid w:val="00081769"/>
    <w:rsid w:val="0008296D"/>
    <w:rsid w:val="00083041"/>
    <w:rsid w:val="000834EC"/>
    <w:rsid w:val="000835C5"/>
    <w:rsid w:val="00083852"/>
    <w:rsid w:val="000842CB"/>
    <w:rsid w:val="000858BC"/>
    <w:rsid w:val="00086492"/>
    <w:rsid w:val="00086EE5"/>
    <w:rsid w:val="000902FD"/>
    <w:rsid w:val="000910D1"/>
    <w:rsid w:val="00092510"/>
    <w:rsid w:val="00092EB5"/>
    <w:rsid w:val="00094185"/>
    <w:rsid w:val="000951BE"/>
    <w:rsid w:val="00095629"/>
    <w:rsid w:val="00096569"/>
    <w:rsid w:val="00096F49"/>
    <w:rsid w:val="000A1654"/>
    <w:rsid w:val="000A16D3"/>
    <w:rsid w:val="000A18B5"/>
    <w:rsid w:val="000A1DBD"/>
    <w:rsid w:val="000A4D65"/>
    <w:rsid w:val="000A5129"/>
    <w:rsid w:val="000A5824"/>
    <w:rsid w:val="000A788D"/>
    <w:rsid w:val="000A7E15"/>
    <w:rsid w:val="000B097B"/>
    <w:rsid w:val="000B1102"/>
    <w:rsid w:val="000B2017"/>
    <w:rsid w:val="000B28AF"/>
    <w:rsid w:val="000B31F2"/>
    <w:rsid w:val="000B355E"/>
    <w:rsid w:val="000B4F1A"/>
    <w:rsid w:val="000B5144"/>
    <w:rsid w:val="000B62E1"/>
    <w:rsid w:val="000B6C2C"/>
    <w:rsid w:val="000C04B0"/>
    <w:rsid w:val="000C083D"/>
    <w:rsid w:val="000C2C66"/>
    <w:rsid w:val="000C383A"/>
    <w:rsid w:val="000C3C19"/>
    <w:rsid w:val="000C40D9"/>
    <w:rsid w:val="000C5A9C"/>
    <w:rsid w:val="000D1F35"/>
    <w:rsid w:val="000D2E14"/>
    <w:rsid w:val="000D3F44"/>
    <w:rsid w:val="000D3F73"/>
    <w:rsid w:val="000D526E"/>
    <w:rsid w:val="000D7125"/>
    <w:rsid w:val="000E2094"/>
    <w:rsid w:val="000E506C"/>
    <w:rsid w:val="000E6A59"/>
    <w:rsid w:val="000E79AF"/>
    <w:rsid w:val="000F10E4"/>
    <w:rsid w:val="000F135A"/>
    <w:rsid w:val="000F2184"/>
    <w:rsid w:val="000F4645"/>
    <w:rsid w:val="000F5068"/>
    <w:rsid w:val="000F5FAA"/>
    <w:rsid w:val="000F782C"/>
    <w:rsid w:val="0010102E"/>
    <w:rsid w:val="0010153C"/>
    <w:rsid w:val="00102ED4"/>
    <w:rsid w:val="001037E1"/>
    <w:rsid w:val="001041FF"/>
    <w:rsid w:val="00104E5C"/>
    <w:rsid w:val="00105015"/>
    <w:rsid w:val="00105C0E"/>
    <w:rsid w:val="00116EA8"/>
    <w:rsid w:val="001201FF"/>
    <w:rsid w:val="00121332"/>
    <w:rsid w:val="00122C0F"/>
    <w:rsid w:val="00126D34"/>
    <w:rsid w:val="0013096A"/>
    <w:rsid w:val="001310EF"/>
    <w:rsid w:val="00132CC0"/>
    <w:rsid w:val="001342F0"/>
    <w:rsid w:val="001349DA"/>
    <w:rsid w:val="001376EB"/>
    <w:rsid w:val="001379C7"/>
    <w:rsid w:val="00137CB6"/>
    <w:rsid w:val="00137E89"/>
    <w:rsid w:val="00137FA6"/>
    <w:rsid w:val="00140996"/>
    <w:rsid w:val="00140F21"/>
    <w:rsid w:val="0014129E"/>
    <w:rsid w:val="00141762"/>
    <w:rsid w:val="001419DA"/>
    <w:rsid w:val="0014267C"/>
    <w:rsid w:val="001429B6"/>
    <w:rsid w:val="001444D5"/>
    <w:rsid w:val="001458BA"/>
    <w:rsid w:val="00146900"/>
    <w:rsid w:val="00147D1A"/>
    <w:rsid w:val="00147E36"/>
    <w:rsid w:val="0015117A"/>
    <w:rsid w:val="00151AB6"/>
    <w:rsid w:val="00152273"/>
    <w:rsid w:val="0015361E"/>
    <w:rsid w:val="00153675"/>
    <w:rsid w:val="00154142"/>
    <w:rsid w:val="00154BDC"/>
    <w:rsid w:val="00156585"/>
    <w:rsid w:val="00157CAC"/>
    <w:rsid w:val="00160A81"/>
    <w:rsid w:val="00162637"/>
    <w:rsid w:val="00162BDB"/>
    <w:rsid w:val="0016339A"/>
    <w:rsid w:val="0016503F"/>
    <w:rsid w:val="00172112"/>
    <w:rsid w:val="0017247B"/>
    <w:rsid w:val="0017254C"/>
    <w:rsid w:val="00172FDD"/>
    <w:rsid w:val="0017648F"/>
    <w:rsid w:val="00176E95"/>
    <w:rsid w:val="00177F86"/>
    <w:rsid w:val="001829E5"/>
    <w:rsid w:val="001873E8"/>
    <w:rsid w:val="0018746E"/>
    <w:rsid w:val="0019133A"/>
    <w:rsid w:val="001916B8"/>
    <w:rsid w:val="00192FE4"/>
    <w:rsid w:val="00194639"/>
    <w:rsid w:val="001972AD"/>
    <w:rsid w:val="001A0609"/>
    <w:rsid w:val="001A1B56"/>
    <w:rsid w:val="001A5675"/>
    <w:rsid w:val="001A69C3"/>
    <w:rsid w:val="001A7795"/>
    <w:rsid w:val="001A7C21"/>
    <w:rsid w:val="001B1C07"/>
    <w:rsid w:val="001B25A8"/>
    <w:rsid w:val="001B3300"/>
    <w:rsid w:val="001B3B0D"/>
    <w:rsid w:val="001B3C1B"/>
    <w:rsid w:val="001B420A"/>
    <w:rsid w:val="001B438A"/>
    <w:rsid w:val="001B43F2"/>
    <w:rsid w:val="001B44D4"/>
    <w:rsid w:val="001B56D2"/>
    <w:rsid w:val="001B76B5"/>
    <w:rsid w:val="001C1647"/>
    <w:rsid w:val="001C2228"/>
    <w:rsid w:val="001C2D2D"/>
    <w:rsid w:val="001C60A0"/>
    <w:rsid w:val="001C67F3"/>
    <w:rsid w:val="001D485A"/>
    <w:rsid w:val="001D6446"/>
    <w:rsid w:val="001D681E"/>
    <w:rsid w:val="001E12CE"/>
    <w:rsid w:val="001E14B5"/>
    <w:rsid w:val="001E1DAA"/>
    <w:rsid w:val="001E2379"/>
    <w:rsid w:val="001E5553"/>
    <w:rsid w:val="001E7548"/>
    <w:rsid w:val="001F030F"/>
    <w:rsid w:val="001F112E"/>
    <w:rsid w:val="001F1577"/>
    <w:rsid w:val="001F230E"/>
    <w:rsid w:val="001F2874"/>
    <w:rsid w:val="001F3CF1"/>
    <w:rsid w:val="001F5346"/>
    <w:rsid w:val="001F6C6F"/>
    <w:rsid w:val="00201767"/>
    <w:rsid w:val="00202135"/>
    <w:rsid w:val="00205316"/>
    <w:rsid w:val="00205470"/>
    <w:rsid w:val="00205B21"/>
    <w:rsid w:val="002072E5"/>
    <w:rsid w:val="002110CB"/>
    <w:rsid w:val="002118CE"/>
    <w:rsid w:val="00212013"/>
    <w:rsid w:val="00212210"/>
    <w:rsid w:val="00212AE7"/>
    <w:rsid w:val="00212FC4"/>
    <w:rsid w:val="0021331B"/>
    <w:rsid w:val="002156BA"/>
    <w:rsid w:val="00217423"/>
    <w:rsid w:val="00217CE7"/>
    <w:rsid w:val="00220BDC"/>
    <w:rsid w:val="002248E9"/>
    <w:rsid w:val="002253CE"/>
    <w:rsid w:val="00225457"/>
    <w:rsid w:val="00231341"/>
    <w:rsid w:val="0023143D"/>
    <w:rsid w:val="00232406"/>
    <w:rsid w:val="00232820"/>
    <w:rsid w:val="00232AF8"/>
    <w:rsid w:val="002348A3"/>
    <w:rsid w:val="00235921"/>
    <w:rsid w:val="00236129"/>
    <w:rsid w:val="00236E99"/>
    <w:rsid w:val="0024057A"/>
    <w:rsid w:val="00241799"/>
    <w:rsid w:val="00241D4F"/>
    <w:rsid w:val="00243016"/>
    <w:rsid w:val="0024391A"/>
    <w:rsid w:val="002441D8"/>
    <w:rsid w:val="002448C0"/>
    <w:rsid w:val="0025197C"/>
    <w:rsid w:val="002529BA"/>
    <w:rsid w:val="002534BB"/>
    <w:rsid w:val="0025481F"/>
    <w:rsid w:val="00255B35"/>
    <w:rsid w:val="00257269"/>
    <w:rsid w:val="0026018A"/>
    <w:rsid w:val="0026028E"/>
    <w:rsid w:val="00265D4D"/>
    <w:rsid w:val="0026613F"/>
    <w:rsid w:val="002715C9"/>
    <w:rsid w:val="00271B51"/>
    <w:rsid w:val="00271F22"/>
    <w:rsid w:val="002738C6"/>
    <w:rsid w:val="00273A00"/>
    <w:rsid w:val="00274567"/>
    <w:rsid w:val="002747CD"/>
    <w:rsid w:val="00275329"/>
    <w:rsid w:val="00275868"/>
    <w:rsid w:val="00275959"/>
    <w:rsid w:val="002775E4"/>
    <w:rsid w:val="00280415"/>
    <w:rsid w:val="00280E9A"/>
    <w:rsid w:val="002813DC"/>
    <w:rsid w:val="00281E29"/>
    <w:rsid w:val="002825ED"/>
    <w:rsid w:val="00282629"/>
    <w:rsid w:val="00283341"/>
    <w:rsid w:val="00285A0D"/>
    <w:rsid w:val="0028660C"/>
    <w:rsid w:val="002869E1"/>
    <w:rsid w:val="00287CF3"/>
    <w:rsid w:val="00287F08"/>
    <w:rsid w:val="002904C0"/>
    <w:rsid w:val="00290AC3"/>
    <w:rsid w:val="002926DD"/>
    <w:rsid w:val="00293B67"/>
    <w:rsid w:val="0029639E"/>
    <w:rsid w:val="00296AAA"/>
    <w:rsid w:val="002975CC"/>
    <w:rsid w:val="002979C2"/>
    <w:rsid w:val="002A0069"/>
    <w:rsid w:val="002A109E"/>
    <w:rsid w:val="002A1364"/>
    <w:rsid w:val="002A1942"/>
    <w:rsid w:val="002A2588"/>
    <w:rsid w:val="002A319A"/>
    <w:rsid w:val="002A3580"/>
    <w:rsid w:val="002A3C46"/>
    <w:rsid w:val="002A41D0"/>
    <w:rsid w:val="002A54D6"/>
    <w:rsid w:val="002A54EF"/>
    <w:rsid w:val="002A65CB"/>
    <w:rsid w:val="002A74B6"/>
    <w:rsid w:val="002A7C9D"/>
    <w:rsid w:val="002B00C2"/>
    <w:rsid w:val="002B098C"/>
    <w:rsid w:val="002B19E6"/>
    <w:rsid w:val="002B3761"/>
    <w:rsid w:val="002B452B"/>
    <w:rsid w:val="002B554D"/>
    <w:rsid w:val="002B5E8E"/>
    <w:rsid w:val="002B71D9"/>
    <w:rsid w:val="002B77F7"/>
    <w:rsid w:val="002B7CC2"/>
    <w:rsid w:val="002C024D"/>
    <w:rsid w:val="002C1399"/>
    <w:rsid w:val="002C4A08"/>
    <w:rsid w:val="002C56B9"/>
    <w:rsid w:val="002C601B"/>
    <w:rsid w:val="002C6791"/>
    <w:rsid w:val="002D082A"/>
    <w:rsid w:val="002D2060"/>
    <w:rsid w:val="002D258C"/>
    <w:rsid w:val="002D2C50"/>
    <w:rsid w:val="002D4073"/>
    <w:rsid w:val="002D5C78"/>
    <w:rsid w:val="002D7B46"/>
    <w:rsid w:val="002E044E"/>
    <w:rsid w:val="002E34F0"/>
    <w:rsid w:val="002E7C74"/>
    <w:rsid w:val="002F181C"/>
    <w:rsid w:val="002F2421"/>
    <w:rsid w:val="002F28B2"/>
    <w:rsid w:val="002F3EE1"/>
    <w:rsid w:val="002F5BA3"/>
    <w:rsid w:val="00300706"/>
    <w:rsid w:val="00303112"/>
    <w:rsid w:val="00304A80"/>
    <w:rsid w:val="00305EBD"/>
    <w:rsid w:val="00307625"/>
    <w:rsid w:val="0031219B"/>
    <w:rsid w:val="00312651"/>
    <w:rsid w:val="003142F5"/>
    <w:rsid w:val="003152D6"/>
    <w:rsid w:val="00316F45"/>
    <w:rsid w:val="00322C0A"/>
    <w:rsid w:val="003249F4"/>
    <w:rsid w:val="003258C7"/>
    <w:rsid w:val="00330526"/>
    <w:rsid w:val="00330E68"/>
    <w:rsid w:val="0033257A"/>
    <w:rsid w:val="00334225"/>
    <w:rsid w:val="00334E74"/>
    <w:rsid w:val="00334FE0"/>
    <w:rsid w:val="00335AD4"/>
    <w:rsid w:val="00335D16"/>
    <w:rsid w:val="00336DA3"/>
    <w:rsid w:val="003400B1"/>
    <w:rsid w:val="0034135C"/>
    <w:rsid w:val="00341696"/>
    <w:rsid w:val="00341BE1"/>
    <w:rsid w:val="00341D31"/>
    <w:rsid w:val="0034248F"/>
    <w:rsid w:val="003445F0"/>
    <w:rsid w:val="0034543A"/>
    <w:rsid w:val="0034544D"/>
    <w:rsid w:val="00345BB3"/>
    <w:rsid w:val="00346DD9"/>
    <w:rsid w:val="00350065"/>
    <w:rsid w:val="00351886"/>
    <w:rsid w:val="00351A6F"/>
    <w:rsid w:val="00352123"/>
    <w:rsid w:val="00352F2B"/>
    <w:rsid w:val="003530FC"/>
    <w:rsid w:val="00354342"/>
    <w:rsid w:val="00354BC2"/>
    <w:rsid w:val="0035500B"/>
    <w:rsid w:val="00355DB7"/>
    <w:rsid w:val="00356721"/>
    <w:rsid w:val="003574E5"/>
    <w:rsid w:val="00357807"/>
    <w:rsid w:val="0036104D"/>
    <w:rsid w:val="003626E4"/>
    <w:rsid w:val="00362998"/>
    <w:rsid w:val="00363157"/>
    <w:rsid w:val="003631D2"/>
    <w:rsid w:val="00363913"/>
    <w:rsid w:val="00364C51"/>
    <w:rsid w:val="003674EA"/>
    <w:rsid w:val="003708C8"/>
    <w:rsid w:val="003725A1"/>
    <w:rsid w:val="00372DA6"/>
    <w:rsid w:val="0037450E"/>
    <w:rsid w:val="003764EB"/>
    <w:rsid w:val="00377004"/>
    <w:rsid w:val="00377E7A"/>
    <w:rsid w:val="0038491E"/>
    <w:rsid w:val="003852F2"/>
    <w:rsid w:val="00386200"/>
    <w:rsid w:val="00386DD1"/>
    <w:rsid w:val="003875F1"/>
    <w:rsid w:val="003918F6"/>
    <w:rsid w:val="0039214E"/>
    <w:rsid w:val="00392266"/>
    <w:rsid w:val="00394AD5"/>
    <w:rsid w:val="003A2510"/>
    <w:rsid w:val="003A2A67"/>
    <w:rsid w:val="003A3422"/>
    <w:rsid w:val="003A3BB5"/>
    <w:rsid w:val="003A4FF5"/>
    <w:rsid w:val="003A512E"/>
    <w:rsid w:val="003A6E9A"/>
    <w:rsid w:val="003B260A"/>
    <w:rsid w:val="003B3A2F"/>
    <w:rsid w:val="003B45DF"/>
    <w:rsid w:val="003B5F91"/>
    <w:rsid w:val="003C073A"/>
    <w:rsid w:val="003C1827"/>
    <w:rsid w:val="003C205A"/>
    <w:rsid w:val="003C2D17"/>
    <w:rsid w:val="003C356E"/>
    <w:rsid w:val="003C361A"/>
    <w:rsid w:val="003C3E72"/>
    <w:rsid w:val="003C3FD1"/>
    <w:rsid w:val="003C528F"/>
    <w:rsid w:val="003C6698"/>
    <w:rsid w:val="003D0B28"/>
    <w:rsid w:val="003D144B"/>
    <w:rsid w:val="003D23B3"/>
    <w:rsid w:val="003D3BE4"/>
    <w:rsid w:val="003D4144"/>
    <w:rsid w:val="003D4CD8"/>
    <w:rsid w:val="003D753C"/>
    <w:rsid w:val="003D7DFB"/>
    <w:rsid w:val="003E0234"/>
    <w:rsid w:val="003E0557"/>
    <w:rsid w:val="003E0DB3"/>
    <w:rsid w:val="003E0F84"/>
    <w:rsid w:val="003E0FE1"/>
    <w:rsid w:val="003E1A26"/>
    <w:rsid w:val="003E23B9"/>
    <w:rsid w:val="003E3A54"/>
    <w:rsid w:val="003E4532"/>
    <w:rsid w:val="003E5712"/>
    <w:rsid w:val="003E6028"/>
    <w:rsid w:val="003E63DE"/>
    <w:rsid w:val="003E75BA"/>
    <w:rsid w:val="003F01FA"/>
    <w:rsid w:val="003F1456"/>
    <w:rsid w:val="003F15BA"/>
    <w:rsid w:val="003F1C52"/>
    <w:rsid w:val="003F265A"/>
    <w:rsid w:val="003F2731"/>
    <w:rsid w:val="003F2964"/>
    <w:rsid w:val="003F35D9"/>
    <w:rsid w:val="003F6100"/>
    <w:rsid w:val="003F7F2C"/>
    <w:rsid w:val="00400369"/>
    <w:rsid w:val="004027C8"/>
    <w:rsid w:val="00405A80"/>
    <w:rsid w:val="0040772C"/>
    <w:rsid w:val="0041037F"/>
    <w:rsid w:val="0041232F"/>
    <w:rsid w:val="00412D49"/>
    <w:rsid w:val="0041389D"/>
    <w:rsid w:val="00413A3A"/>
    <w:rsid w:val="00416198"/>
    <w:rsid w:val="00416CA5"/>
    <w:rsid w:val="004204DD"/>
    <w:rsid w:val="00422811"/>
    <w:rsid w:val="00424EBE"/>
    <w:rsid w:val="00425D22"/>
    <w:rsid w:val="004272A8"/>
    <w:rsid w:val="0042781A"/>
    <w:rsid w:val="00431B9B"/>
    <w:rsid w:val="00432462"/>
    <w:rsid w:val="00432A7D"/>
    <w:rsid w:val="00432C7D"/>
    <w:rsid w:val="00433AD4"/>
    <w:rsid w:val="00433F77"/>
    <w:rsid w:val="00434499"/>
    <w:rsid w:val="00435005"/>
    <w:rsid w:val="00435290"/>
    <w:rsid w:val="004356C7"/>
    <w:rsid w:val="00441384"/>
    <w:rsid w:val="004418FC"/>
    <w:rsid w:val="00442AEA"/>
    <w:rsid w:val="004433B7"/>
    <w:rsid w:val="00445055"/>
    <w:rsid w:val="004450DE"/>
    <w:rsid w:val="004455C3"/>
    <w:rsid w:val="00446760"/>
    <w:rsid w:val="00446D1C"/>
    <w:rsid w:val="004473BF"/>
    <w:rsid w:val="00450717"/>
    <w:rsid w:val="00450A31"/>
    <w:rsid w:val="004542BC"/>
    <w:rsid w:val="004544C8"/>
    <w:rsid w:val="00454C5F"/>
    <w:rsid w:val="00456C72"/>
    <w:rsid w:val="00457338"/>
    <w:rsid w:val="0046296F"/>
    <w:rsid w:val="00464C3F"/>
    <w:rsid w:val="00465E81"/>
    <w:rsid w:val="0046705C"/>
    <w:rsid w:val="00467CBF"/>
    <w:rsid w:val="0047050F"/>
    <w:rsid w:val="00470537"/>
    <w:rsid w:val="004717FB"/>
    <w:rsid w:val="00473116"/>
    <w:rsid w:val="00473A29"/>
    <w:rsid w:val="00475BEE"/>
    <w:rsid w:val="004779F3"/>
    <w:rsid w:val="00477F3C"/>
    <w:rsid w:val="0048056E"/>
    <w:rsid w:val="004837E6"/>
    <w:rsid w:val="004862E0"/>
    <w:rsid w:val="00487D2A"/>
    <w:rsid w:val="00487F07"/>
    <w:rsid w:val="00490784"/>
    <w:rsid w:val="00490854"/>
    <w:rsid w:val="00490B93"/>
    <w:rsid w:val="00490E2A"/>
    <w:rsid w:val="00491EC3"/>
    <w:rsid w:val="00492223"/>
    <w:rsid w:val="0049521D"/>
    <w:rsid w:val="00495FA5"/>
    <w:rsid w:val="00496115"/>
    <w:rsid w:val="00497065"/>
    <w:rsid w:val="0049740C"/>
    <w:rsid w:val="0049786F"/>
    <w:rsid w:val="004A00AE"/>
    <w:rsid w:val="004A1477"/>
    <w:rsid w:val="004A1C86"/>
    <w:rsid w:val="004A24B8"/>
    <w:rsid w:val="004A30FE"/>
    <w:rsid w:val="004A574C"/>
    <w:rsid w:val="004A592C"/>
    <w:rsid w:val="004A6CD7"/>
    <w:rsid w:val="004A7CA9"/>
    <w:rsid w:val="004B0AE3"/>
    <w:rsid w:val="004B1409"/>
    <w:rsid w:val="004B15B1"/>
    <w:rsid w:val="004B2E49"/>
    <w:rsid w:val="004B2E5D"/>
    <w:rsid w:val="004B4079"/>
    <w:rsid w:val="004B410C"/>
    <w:rsid w:val="004B7F03"/>
    <w:rsid w:val="004C00B3"/>
    <w:rsid w:val="004C00EE"/>
    <w:rsid w:val="004C082A"/>
    <w:rsid w:val="004C1DFC"/>
    <w:rsid w:val="004C3079"/>
    <w:rsid w:val="004C418B"/>
    <w:rsid w:val="004C5049"/>
    <w:rsid w:val="004C6CE8"/>
    <w:rsid w:val="004C7B7D"/>
    <w:rsid w:val="004D2A27"/>
    <w:rsid w:val="004D52DF"/>
    <w:rsid w:val="004E2EFF"/>
    <w:rsid w:val="004E5A48"/>
    <w:rsid w:val="004E5F4A"/>
    <w:rsid w:val="004E6C4B"/>
    <w:rsid w:val="004E7E57"/>
    <w:rsid w:val="004F0309"/>
    <w:rsid w:val="004F318D"/>
    <w:rsid w:val="004F347E"/>
    <w:rsid w:val="004F3ADC"/>
    <w:rsid w:val="004F4136"/>
    <w:rsid w:val="004F5D2E"/>
    <w:rsid w:val="005018AB"/>
    <w:rsid w:val="00502E7C"/>
    <w:rsid w:val="005041CF"/>
    <w:rsid w:val="00504A3D"/>
    <w:rsid w:val="00506AA5"/>
    <w:rsid w:val="00510293"/>
    <w:rsid w:val="00510649"/>
    <w:rsid w:val="0051087F"/>
    <w:rsid w:val="00512658"/>
    <w:rsid w:val="00512947"/>
    <w:rsid w:val="0051371F"/>
    <w:rsid w:val="005144D9"/>
    <w:rsid w:val="00515398"/>
    <w:rsid w:val="00515B73"/>
    <w:rsid w:val="005161D5"/>
    <w:rsid w:val="00516D32"/>
    <w:rsid w:val="0051781E"/>
    <w:rsid w:val="00517A3D"/>
    <w:rsid w:val="005205E0"/>
    <w:rsid w:val="00520FF2"/>
    <w:rsid w:val="00521E04"/>
    <w:rsid w:val="00521F6B"/>
    <w:rsid w:val="005239C0"/>
    <w:rsid w:val="005248A5"/>
    <w:rsid w:val="0052546B"/>
    <w:rsid w:val="00525884"/>
    <w:rsid w:val="0052716F"/>
    <w:rsid w:val="00530452"/>
    <w:rsid w:val="00530EEA"/>
    <w:rsid w:val="00533D67"/>
    <w:rsid w:val="00534833"/>
    <w:rsid w:val="00535EA3"/>
    <w:rsid w:val="005362A3"/>
    <w:rsid w:val="00536B51"/>
    <w:rsid w:val="00541920"/>
    <w:rsid w:val="005419E0"/>
    <w:rsid w:val="00542C28"/>
    <w:rsid w:val="005434C3"/>
    <w:rsid w:val="00545776"/>
    <w:rsid w:val="00545821"/>
    <w:rsid w:val="00546656"/>
    <w:rsid w:val="005527FB"/>
    <w:rsid w:val="005538A3"/>
    <w:rsid w:val="00553A17"/>
    <w:rsid w:val="00555BD7"/>
    <w:rsid w:val="005574E2"/>
    <w:rsid w:val="005578FE"/>
    <w:rsid w:val="005603FD"/>
    <w:rsid w:val="00560F97"/>
    <w:rsid w:val="00562BA3"/>
    <w:rsid w:val="00563200"/>
    <w:rsid w:val="005634EE"/>
    <w:rsid w:val="00564D70"/>
    <w:rsid w:val="00565100"/>
    <w:rsid w:val="0056566B"/>
    <w:rsid w:val="00566825"/>
    <w:rsid w:val="00566AE8"/>
    <w:rsid w:val="00567161"/>
    <w:rsid w:val="00571843"/>
    <w:rsid w:val="005751BF"/>
    <w:rsid w:val="00577426"/>
    <w:rsid w:val="00581323"/>
    <w:rsid w:val="00583FB6"/>
    <w:rsid w:val="00584603"/>
    <w:rsid w:val="00584A57"/>
    <w:rsid w:val="00584CB4"/>
    <w:rsid w:val="00586B9F"/>
    <w:rsid w:val="00587CD5"/>
    <w:rsid w:val="00590B0A"/>
    <w:rsid w:val="00591141"/>
    <w:rsid w:val="00591EE2"/>
    <w:rsid w:val="00592CB3"/>
    <w:rsid w:val="00593CAC"/>
    <w:rsid w:val="00595BD8"/>
    <w:rsid w:val="00595BE5"/>
    <w:rsid w:val="00596347"/>
    <w:rsid w:val="00596567"/>
    <w:rsid w:val="0059697F"/>
    <w:rsid w:val="005A23BD"/>
    <w:rsid w:val="005A3BA6"/>
    <w:rsid w:val="005A443A"/>
    <w:rsid w:val="005A6CCB"/>
    <w:rsid w:val="005A6E7B"/>
    <w:rsid w:val="005B07F6"/>
    <w:rsid w:val="005B1E5D"/>
    <w:rsid w:val="005B3126"/>
    <w:rsid w:val="005B35E0"/>
    <w:rsid w:val="005B523D"/>
    <w:rsid w:val="005B59A8"/>
    <w:rsid w:val="005C0A7F"/>
    <w:rsid w:val="005C0C61"/>
    <w:rsid w:val="005C1335"/>
    <w:rsid w:val="005C3EA6"/>
    <w:rsid w:val="005C5F58"/>
    <w:rsid w:val="005C7AFE"/>
    <w:rsid w:val="005D0B8F"/>
    <w:rsid w:val="005D141E"/>
    <w:rsid w:val="005D1791"/>
    <w:rsid w:val="005D45E4"/>
    <w:rsid w:val="005D7C0B"/>
    <w:rsid w:val="005E155D"/>
    <w:rsid w:val="005E2790"/>
    <w:rsid w:val="005E28BC"/>
    <w:rsid w:val="005E35DD"/>
    <w:rsid w:val="005E393D"/>
    <w:rsid w:val="005E609D"/>
    <w:rsid w:val="005E7E90"/>
    <w:rsid w:val="005F0C59"/>
    <w:rsid w:val="005F0C5C"/>
    <w:rsid w:val="005F10BF"/>
    <w:rsid w:val="005F126E"/>
    <w:rsid w:val="005F155B"/>
    <w:rsid w:val="005F31BD"/>
    <w:rsid w:val="005F329C"/>
    <w:rsid w:val="005F3373"/>
    <w:rsid w:val="005F4E32"/>
    <w:rsid w:val="005F775B"/>
    <w:rsid w:val="005F79A6"/>
    <w:rsid w:val="005F7C44"/>
    <w:rsid w:val="00600BE4"/>
    <w:rsid w:val="006013D6"/>
    <w:rsid w:val="00601F5E"/>
    <w:rsid w:val="006023E7"/>
    <w:rsid w:val="00605EA2"/>
    <w:rsid w:val="00606D2C"/>
    <w:rsid w:val="006110C9"/>
    <w:rsid w:val="00612CA3"/>
    <w:rsid w:val="00614441"/>
    <w:rsid w:val="00614E46"/>
    <w:rsid w:val="00616305"/>
    <w:rsid w:val="00620A64"/>
    <w:rsid w:val="006212DB"/>
    <w:rsid w:val="006220CA"/>
    <w:rsid w:val="00624C34"/>
    <w:rsid w:val="006261CA"/>
    <w:rsid w:val="00634F2B"/>
    <w:rsid w:val="00635CFD"/>
    <w:rsid w:val="00635D91"/>
    <w:rsid w:val="00636C7D"/>
    <w:rsid w:val="0063799E"/>
    <w:rsid w:val="006414F9"/>
    <w:rsid w:val="006427B8"/>
    <w:rsid w:val="0064381D"/>
    <w:rsid w:val="00643AF1"/>
    <w:rsid w:val="00644664"/>
    <w:rsid w:val="00645390"/>
    <w:rsid w:val="006456C4"/>
    <w:rsid w:val="00646713"/>
    <w:rsid w:val="00647858"/>
    <w:rsid w:val="00650B1B"/>
    <w:rsid w:val="00650F03"/>
    <w:rsid w:val="006514A9"/>
    <w:rsid w:val="00652A46"/>
    <w:rsid w:val="00654C90"/>
    <w:rsid w:val="0065536F"/>
    <w:rsid w:val="006633B6"/>
    <w:rsid w:val="006638BF"/>
    <w:rsid w:val="0066426A"/>
    <w:rsid w:val="006643E2"/>
    <w:rsid w:val="006651BF"/>
    <w:rsid w:val="00665577"/>
    <w:rsid w:val="00666CFB"/>
    <w:rsid w:val="00667D06"/>
    <w:rsid w:val="00672048"/>
    <w:rsid w:val="00672C4A"/>
    <w:rsid w:val="00674CF2"/>
    <w:rsid w:val="00674E51"/>
    <w:rsid w:val="006762C1"/>
    <w:rsid w:val="006776A9"/>
    <w:rsid w:val="00681A23"/>
    <w:rsid w:val="00681B45"/>
    <w:rsid w:val="00682511"/>
    <w:rsid w:val="006833D9"/>
    <w:rsid w:val="00683C79"/>
    <w:rsid w:val="0068495F"/>
    <w:rsid w:val="0068581E"/>
    <w:rsid w:val="00685AFD"/>
    <w:rsid w:val="006904F7"/>
    <w:rsid w:val="006905D7"/>
    <w:rsid w:val="00690C9C"/>
    <w:rsid w:val="0069247C"/>
    <w:rsid w:val="006932D8"/>
    <w:rsid w:val="00693CFF"/>
    <w:rsid w:val="00694A60"/>
    <w:rsid w:val="0069606A"/>
    <w:rsid w:val="00696DEE"/>
    <w:rsid w:val="00697A12"/>
    <w:rsid w:val="00697D4E"/>
    <w:rsid w:val="006A0C32"/>
    <w:rsid w:val="006A213D"/>
    <w:rsid w:val="006A2AA0"/>
    <w:rsid w:val="006A3055"/>
    <w:rsid w:val="006A51C4"/>
    <w:rsid w:val="006A67D6"/>
    <w:rsid w:val="006A69E5"/>
    <w:rsid w:val="006B0167"/>
    <w:rsid w:val="006B1CA7"/>
    <w:rsid w:val="006B23E3"/>
    <w:rsid w:val="006B2BAE"/>
    <w:rsid w:val="006B2E1D"/>
    <w:rsid w:val="006B51CB"/>
    <w:rsid w:val="006B5685"/>
    <w:rsid w:val="006B7405"/>
    <w:rsid w:val="006B7D51"/>
    <w:rsid w:val="006C0684"/>
    <w:rsid w:val="006C0DBB"/>
    <w:rsid w:val="006C60CF"/>
    <w:rsid w:val="006C611C"/>
    <w:rsid w:val="006D3007"/>
    <w:rsid w:val="006D4492"/>
    <w:rsid w:val="006D4559"/>
    <w:rsid w:val="006D5390"/>
    <w:rsid w:val="006D53D3"/>
    <w:rsid w:val="006D5D3E"/>
    <w:rsid w:val="006D6785"/>
    <w:rsid w:val="006D7872"/>
    <w:rsid w:val="006E1723"/>
    <w:rsid w:val="006E1FDF"/>
    <w:rsid w:val="006E2A07"/>
    <w:rsid w:val="006E3249"/>
    <w:rsid w:val="006E41A9"/>
    <w:rsid w:val="006E6A94"/>
    <w:rsid w:val="006E7A2A"/>
    <w:rsid w:val="006F1201"/>
    <w:rsid w:val="006F3077"/>
    <w:rsid w:val="006F3BB3"/>
    <w:rsid w:val="006F48DA"/>
    <w:rsid w:val="006F4A41"/>
    <w:rsid w:val="006F57FF"/>
    <w:rsid w:val="006F648B"/>
    <w:rsid w:val="006F7A2D"/>
    <w:rsid w:val="00701D54"/>
    <w:rsid w:val="00703FF9"/>
    <w:rsid w:val="00704876"/>
    <w:rsid w:val="0070499B"/>
    <w:rsid w:val="00704C52"/>
    <w:rsid w:val="00705678"/>
    <w:rsid w:val="007064DD"/>
    <w:rsid w:val="007072F9"/>
    <w:rsid w:val="00707EFA"/>
    <w:rsid w:val="007105D9"/>
    <w:rsid w:val="00713E7A"/>
    <w:rsid w:val="00716F24"/>
    <w:rsid w:val="00717F4B"/>
    <w:rsid w:val="0072250F"/>
    <w:rsid w:val="007240C2"/>
    <w:rsid w:val="00724288"/>
    <w:rsid w:val="00724F7E"/>
    <w:rsid w:val="00725554"/>
    <w:rsid w:val="00726CA6"/>
    <w:rsid w:val="00727707"/>
    <w:rsid w:val="00727C11"/>
    <w:rsid w:val="00730BFF"/>
    <w:rsid w:val="00733602"/>
    <w:rsid w:val="0073365E"/>
    <w:rsid w:val="00733E10"/>
    <w:rsid w:val="00736828"/>
    <w:rsid w:val="00741A09"/>
    <w:rsid w:val="007423DC"/>
    <w:rsid w:val="007427A2"/>
    <w:rsid w:val="00743185"/>
    <w:rsid w:val="007448BF"/>
    <w:rsid w:val="00746400"/>
    <w:rsid w:val="0074708C"/>
    <w:rsid w:val="00747C30"/>
    <w:rsid w:val="007506B0"/>
    <w:rsid w:val="00750CD8"/>
    <w:rsid w:val="007517BD"/>
    <w:rsid w:val="00752147"/>
    <w:rsid w:val="00752ADE"/>
    <w:rsid w:val="007548B3"/>
    <w:rsid w:val="0075682E"/>
    <w:rsid w:val="007602EE"/>
    <w:rsid w:val="00762B0C"/>
    <w:rsid w:val="00762E66"/>
    <w:rsid w:val="00763717"/>
    <w:rsid w:val="00763F2E"/>
    <w:rsid w:val="007712F3"/>
    <w:rsid w:val="00774398"/>
    <w:rsid w:val="00775178"/>
    <w:rsid w:val="00775B30"/>
    <w:rsid w:val="00777DC8"/>
    <w:rsid w:val="007825D8"/>
    <w:rsid w:val="00784866"/>
    <w:rsid w:val="00785BBF"/>
    <w:rsid w:val="00785D9B"/>
    <w:rsid w:val="00786606"/>
    <w:rsid w:val="00790A4D"/>
    <w:rsid w:val="007924FE"/>
    <w:rsid w:val="00792F92"/>
    <w:rsid w:val="00793A41"/>
    <w:rsid w:val="00794352"/>
    <w:rsid w:val="007952EF"/>
    <w:rsid w:val="00795EEC"/>
    <w:rsid w:val="007A15BC"/>
    <w:rsid w:val="007A23A4"/>
    <w:rsid w:val="007A3AB4"/>
    <w:rsid w:val="007A3CEC"/>
    <w:rsid w:val="007A6766"/>
    <w:rsid w:val="007A6769"/>
    <w:rsid w:val="007B016E"/>
    <w:rsid w:val="007B1957"/>
    <w:rsid w:val="007B1A7F"/>
    <w:rsid w:val="007B28E8"/>
    <w:rsid w:val="007B4A31"/>
    <w:rsid w:val="007B54A9"/>
    <w:rsid w:val="007B594B"/>
    <w:rsid w:val="007B5F09"/>
    <w:rsid w:val="007B5FAA"/>
    <w:rsid w:val="007B6619"/>
    <w:rsid w:val="007B6654"/>
    <w:rsid w:val="007B6B5C"/>
    <w:rsid w:val="007B7E8B"/>
    <w:rsid w:val="007C3D5D"/>
    <w:rsid w:val="007D13C4"/>
    <w:rsid w:val="007D1CF5"/>
    <w:rsid w:val="007D6F8D"/>
    <w:rsid w:val="007E1B41"/>
    <w:rsid w:val="007E3166"/>
    <w:rsid w:val="007E41B0"/>
    <w:rsid w:val="007E5BA9"/>
    <w:rsid w:val="007E604D"/>
    <w:rsid w:val="007E6F4E"/>
    <w:rsid w:val="007F0791"/>
    <w:rsid w:val="007F2263"/>
    <w:rsid w:val="007F2AE8"/>
    <w:rsid w:val="007F351A"/>
    <w:rsid w:val="007F51D2"/>
    <w:rsid w:val="007F54DB"/>
    <w:rsid w:val="007F5DC8"/>
    <w:rsid w:val="008010A7"/>
    <w:rsid w:val="0080290A"/>
    <w:rsid w:val="00803A8B"/>
    <w:rsid w:val="008056EC"/>
    <w:rsid w:val="00805759"/>
    <w:rsid w:val="00805D2A"/>
    <w:rsid w:val="00810492"/>
    <w:rsid w:val="00810711"/>
    <w:rsid w:val="0081104F"/>
    <w:rsid w:val="008155A9"/>
    <w:rsid w:val="00815EF4"/>
    <w:rsid w:val="00816743"/>
    <w:rsid w:val="00816BA2"/>
    <w:rsid w:val="00816E1B"/>
    <w:rsid w:val="008210F2"/>
    <w:rsid w:val="00823CBE"/>
    <w:rsid w:val="0082476D"/>
    <w:rsid w:val="00825991"/>
    <w:rsid w:val="00825DC2"/>
    <w:rsid w:val="0082738A"/>
    <w:rsid w:val="00827AFC"/>
    <w:rsid w:val="00834E55"/>
    <w:rsid w:val="008350EB"/>
    <w:rsid w:val="0083550C"/>
    <w:rsid w:val="00835599"/>
    <w:rsid w:val="008370A1"/>
    <w:rsid w:val="0084040B"/>
    <w:rsid w:val="00841647"/>
    <w:rsid w:val="0084190F"/>
    <w:rsid w:val="008449B7"/>
    <w:rsid w:val="008449C4"/>
    <w:rsid w:val="0084533C"/>
    <w:rsid w:val="00851063"/>
    <w:rsid w:val="00852A71"/>
    <w:rsid w:val="00853C2A"/>
    <w:rsid w:val="008551AD"/>
    <w:rsid w:val="00857012"/>
    <w:rsid w:val="00857584"/>
    <w:rsid w:val="008578F6"/>
    <w:rsid w:val="00860DCD"/>
    <w:rsid w:val="008624C7"/>
    <w:rsid w:val="00863623"/>
    <w:rsid w:val="00863CDE"/>
    <w:rsid w:val="00864AA1"/>
    <w:rsid w:val="00864B54"/>
    <w:rsid w:val="00866AA3"/>
    <w:rsid w:val="00870814"/>
    <w:rsid w:val="008723E1"/>
    <w:rsid w:val="00873546"/>
    <w:rsid w:val="00873DB2"/>
    <w:rsid w:val="008747D5"/>
    <w:rsid w:val="0087549C"/>
    <w:rsid w:val="00875B2F"/>
    <w:rsid w:val="00876141"/>
    <w:rsid w:val="00876368"/>
    <w:rsid w:val="008764C3"/>
    <w:rsid w:val="0087695B"/>
    <w:rsid w:val="00876F59"/>
    <w:rsid w:val="00877378"/>
    <w:rsid w:val="00877C3A"/>
    <w:rsid w:val="0088608E"/>
    <w:rsid w:val="00886927"/>
    <w:rsid w:val="00886E51"/>
    <w:rsid w:val="00887922"/>
    <w:rsid w:val="00890C6B"/>
    <w:rsid w:val="0089183D"/>
    <w:rsid w:val="00891840"/>
    <w:rsid w:val="00891F47"/>
    <w:rsid w:val="00894015"/>
    <w:rsid w:val="008949D6"/>
    <w:rsid w:val="008952DA"/>
    <w:rsid w:val="0089624E"/>
    <w:rsid w:val="00897523"/>
    <w:rsid w:val="00897ADF"/>
    <w:rsid w:val="008A0144"/>
    <w:rsid w:val="008A02A9"/>
    <w:rsid w:val="008A0DAC"/>
    <w:rsid w:val="008A1515"/>
    <w:rsid w:val="008A2441"/>
    <w:rsid w:val="008A41A5"/>
    <w:rsid w:val="008A428D"/>
    <w:rsid w:val="008A4984"/>
    <w:rsid w:val="008A512C"/>
    <w:rsid w:val="008A5410"/>
    <w:rsid w:val="008A652E"/>
    <w:rsid w:val="008A7062"/>
    <w:rsid w:val="008A7364"/>
    <w:rsid w:val="008B029D"/>
    <w:rsid w:val="008B03EB"/>
    <w:rsid w:val="008B4BFA"/>
    <w:rsid w:val="008B526C"/>
    <w:rsid w:val="008B544E"/>
    <w:rsid w:val="008B6232"/>
    <w:rsid w:val="008B6859"/>
    <w:rsid w:val="008B6D5A"/>
    <w:rsid w:val="008B6FB6"/>
    <w:rsid w:val="008B7F2E"/>
    <w:rsid w:val="008C24CA"/>
    <w:rsid w:val="008C44EE"/>
    <w:rsid w:val="008C4E4D"/>
    <w:rsid w:val="008C5216"/>
    <w:rsid w:val="008C5EDA"/>
    <w:rsid w:val="008C60BE"/>
    <w:rsid w:val="008C6780"/>
    <w:rsid w:val="008C6E79"/>
    <w:rsid w:val="008C768E"/>
    <w:rsid w:val="008D1A6E"/>
    <w:rsid w:val="008D3870"/>
    <w:rsid w:val="008D48FB"/>
    <w:rsid w:val="008D6A17"/>
    <w:rsid w:val="008D74B3"/>
    <w:rsid w:val="008D7B2F"/>
    <w:rsid w:val="008D7ECC"/>
    <w:rsid w:val="008E18AC"/>
    <w:rsid w:val="008E1B47"/>
    <w:rsid w:val="008E3328"/>
    <w:rsid w:val="008E4E3B"/>
    <w:rsid w:val="008E529E"/>
    <w:rsid w:val="008E56AA"/>
    <w:rsid w:val="008E7021"/>
    <w:rsid w:val="008E70A2"/>
    <w:rsid w:val="008F2869"/>
    <w:rsid w:val="008F456F"/>
    <w:rsid w:val="008F465B"/>
    <w:rsid w:val="0090154E"/>
    <w:rsid w:val="009017B8"/>
    <w:rsid w:val="00902B45"/>
    <w:rsid w:val="00903B75"/>
    <w:rsid w:val="00903D5C"/>
    <w:rsid w:val="00904046"/>
    <w:rsid w:val="009044D4"/>
    <w:rsid w:val="00904FCC"/>
    <w:rsid w:val="00905B58"/>
    <w:rsid w:val="00905F8A"/>
    <w:rsid w:val="00906485"/>
    <w:rsid w:val="00910BBA"/>
    <w:rsid w:val="00910C6A"/>
    <w:rsid w:val="009110D7"/>
    <w:rsid w:val="009114DD"/>
    <w:rsid w:val="00912019"/>
    <w:rsid w:val="009134F2"/>
    <w:rsid w:val="00916A3F"/>
    <w:rsid w:val="009209E7"/>
    <w:rsid w:val="00922C76"/>
    <w:rsid w:val="00922EF8"/>
    <w:rsid w:val="009241FD"/>
    <w:rsid w:val="009253D0"/>
    <w:rsid w:val="00927C5D"/>
    <w:rsid w:val="00930C80"/>
    <w:rsid w:val="009315C6"/>
    <w:rsid w:val="00932F62"/>
    <w:rsid w:val="00934BA5"/>
    <w:rsid w:val="00935BE4"/>
    <w:rsid w:val="00936100"/>
    <w:rsid w:val="00940425"/>
    <w:rsid w:val="00941DDE"/>
    <w:rsid w:val="009423FE"/>
    <w:rsid w:val="0094402D"/>
    <w:rsid w:val="00944639"/>
    <w:rsid w:val="009446D3"/>
    <w:rsid w:val="009463E2"/>
    <w:rsid w:val="00947D7C"/>
    <w:rsid w:val="0095014C"/>
    <w:rsid w:val="0095094C"/>
    <w:rsid w:val="00950AEE"/>
    <w:rsid w:val="00950EF3"/>
    <w:rsid w:val="00953785"/>
    <w:rsid w:val="00953DD2"/>
    <w:rsid w:val="009547DB"/>
    <w:rsid w:val="00954EB0"/>
    <w:rsid w:val="00956BAF"/>
    <w:rsid w:val="009570A9"/>
    <w:rsid w:val="00957644"/>
    <w:rsid w:val="009613AE"/>
    <w:rsid w:val="009617BA"/>
    <w:rsid w:val="00962513"/>
    <w:rsid w:val="00963B3D"/>
    <w:rsid w:val="009649F6"/>
    <w:rsid w:val="009650A5"/>
    <w:rsid w:val="00965F27"/>
    <w:rsid w:val="0096703B"/>
    <w:rsid w:val="0096718F"/>
    <w:rsid w:val="009678BB"/>
    <w:rsid w:val="00971F51"/>
    <w:rsid w:val="0097261D"/>
    <w:rsid w:val="009744AA"/>
    <w:rsid w:val="00974E78"/>
    <w:rsid w:val="009751B3"/>
    <w:rsid w:val="00981D84"/>
    <w:rsid w:val="00981FA7"/>
    <w:rsid w:val="009855F9"/>
    <w:rsid w:val="009865DE"/>
    <w:rsid w:val="00986860"/>
    <w:rsid w:val="00990022"/>
    <w:rsid w:val="00990C51"/>
    <w:rsid w:val="00990F27"/>
    <w:rsid w:val="0099291C"/>
    <w:rsid w:val="00992A28"/>
    <w:rsid w:val="00993FFD"/>
    <w:rsid w:val="00994AF8"/>
    <w:rsid w:val="00994F76"/>
    <w:rsid w:val="00995987"/>
    <w:rsid w:val="009960DE"/>
    <w:rsid w:val="00996CC3"/>
    <w:rsid w:val="0099729C"/>
    <w:rsid w:val="009972D4"/>
    <w:rsid w:val="009A517C"/>
    <w:rsid w:val="009A7171"/>
    <w:rsid w:val="009A7E51"/>
    <w:rsid w:val="009B0EF5"/>
    <w:rsid w:val="009B0F04"/>
    <w:rsid w:val="009B0F8C"/>
    <w:rsid w:val="009B137B"/>
    <w:rsid w:val="009B2AED"/>
    <w:rsid w:val="009B3D6E"/>
    <w:rsid w:val="009B46C9"/>
    <w:rsid w:val="009B4961"/>
    <w:rsid w:val="009B56B1"/>
    <w:rsid w:val="009B63DD"/>
    <w:rsid w:val="009B7AD0"/>
    <w:rsid w:val="009C0F37"/>
    <w:rsid w:val="009C354D"/>
    <w:rsid w:val="009C4654"/>
    <w:rsid w:val="009C4C20"/>
    <w:rsid w:val="009C58A5"/>
    <w:rsid w:val="009C5B8B"/>
    <w:rsid w:val="009C691C"/>
    <w:rsid w:val="009C6C20"/>
    <w:rsid w:val="009D2620"/>
    <w:rsid w:val="009D30D2"/>
    <w:rsid w:val="009D486A"/>
    <w:rsid w:val="009D4EDB"/>
    <w:rsid w:val="009D50D6"/>
    <w:rsid w:val="009D7C1F"/>
    <w:rsid w:val="009D7D04"/>
    <w:rsid w:val="009E09A8"/>
    <w:rsid w:val="009E5194"/>
    <w:rsid w:val="009E525A"/>
    <w:rsid w:val="009E53E0"/>
    <w:rsid w:val="009E5421"/>
    <w:rsid w:val="009E72F4"/>
    <w:rsid w:val="009F0E22"/>
    <w:rsid w:val="009F16D0"/>
    <w:rsid w:val="009F5BCD"/>
    <w:rsid w:val="009F6908"/>
    <w:rsid w:val="009F7FF7"/>
    <w:rsid w:val="00A00D8D"/>
    <w:rsid w:val="00A0232D"/>
    <w:rsid w:val="00A035A3"/>
    <w:rsid w:val="00A052EB"/>
    <w:rsid w:val="00A1160E"/>
    <w:rsid w:val="00A12737"/>
    <w:rsid w:val="00A14AB9"/>
    <w:rsid w:val="00A16904"/>
    <w:rsid w:val="00A176D2"/>
    <w:rsid w:val="00A17704"/>
    <w:rsid w:val="00A247B0"/>
    <w:rsid w:val="00A24D43"/>
    <w:rsid w:val="00A262CB"/>
    <w:rsid w:val="00A26350"/>
    <w:rsid w:val="00A26BA7"/>
    <w:rsid w:val="00A27830"/>
    <w:rsid w:val="00A27D77"/>
    <w:rsid w:val="00A34940"/>
    <w:rsid w:val="00A34A89"/>
    <w:rsid w:val="00A41270"/>
    <w:rsid w:val="00A41495"/>
    <w:rsid w:val="00A41498"/>
    <w:rsid w:val="00A4226D"/>
    <w:rsid w:val="00A42A84"/>
    <w:rsid w:val="00A438BB"/>
    <w:rsid w:val="00A43A19"/>
    <w:rsid w:val="00A43FD2"/>
    <w:rsid w:val="00A44CC8"/>
    <w:rsid w:val="00A46F6A"/>
    <w:rsid w:val="00A477B9"/>
    <w:rsid w:val="00A50D9A"/>
    <w:rsid w:val="00A52332"/>
    <w:rsid w:val="00A5268B"/>
    <w:rsid w:val="00A54A9A"/>
    <w:rsid w:val="00A562DB"/>
    <w:rsid w:val="00A60A08"/>
    <w:rsid w:val="00A61D7F"/>
    <w:rsid w:val="00A62575"/>
    <w:rsid w:val="00A625A7"/>
    <w:rsid w:val="00A62770"/>
    <w:rsid w:val="00A63AB5"/>
    <w:rsid w:val="00A64000"/>
    <w:rsid w:val="00A646EC"/>
    <w:rsid w:val="00A64A63"/>
    <w:rsid w:val="00A65894"/>
    <w:rsid w:val="00A65A7D"/>
    <w:rsid w:val="00A6744A"/>
    <w:rsid w:val="00A70DC0"/>
    <w:rsid w:val="00A7444D"/>
    <w:rsid w:val="00A74F6B"/>
    <w:rsid w:val="00A7563D"/>
    <w:rsid w:val="00A765D8"/>
    <w:rsid w:val="00A77BEC"/>
    <w:rsid w:val="00A81A91"/>
    <w:rsid w:val="00A82969"/>
    <w:rsid w:val="00A84710"/>
    <w:rsid w:val="00A91F27"/>
    <w:rsid w:val="00A92777"/>
    <w:rsid w:val="00A92DD7"/>
    <w:rsid w:val="00A93335"/>
    <w:rsid w:val="00A9355C"/>
    <w:rsid w:val="00A9599C"/>
    <w:rsid w:val="00A9703F"/>
    <w:rsid w:val="00A97070"/>
    <w:rsid w:val="00AA01BE"/>
    <w:rsid w:val="00AA1D8F"/>
    <w:rsid w:val="00AA2E1A"/>
    <w:rsid w:val="00AA48AB"/>
    <w:rsid w:val="00AA4F91"/>
    <w:rsid w:val="00AA54F4"/>
    <w:rsid w:val="00AA6366"/>
    <w:rsid w:val="00AA6C80"/>
    <w:rsid w:val="00AB05DB"/>
    <w:rsid w:val="00AB0BA8"/>
    <w:rsid w:val="00AB116C"/>
    <w:rsid w:val="00AB1221"/>
    <w:rsid w:val="00AB1AC9"/>
    <w:rsid w:val="00AB1CA9"/>
    <w:rsid w:val="00AB5F43"/>
    <w:rsid w:val="00AB7088"/>
    <w:rsid w:val="00AB7B50"/>
    <w:rsid w:val="00AC0C5B"/>
    <w:rsid w:val="00AC208B"/>
    <w:rsid w:val="00AC3E3C"/>
    <w:rsid w:val="00AC4E28"/>
    <w:rsid w:val="00AD20C0"/>
    <w:rsid w:val="00AD3382"/>
    <w:rsid w:val="00AD6BA3"/>
    <w:rsid w:val="00AD6F40"/>
    <w:rsid w:val="00AD7C32"/>
    <w:rsid w:val="00AE03F9"/>
    <w:rsid w:val="00AE0775"/>
    <w:rsid w:val="00AE2546"/>
    <w:rsid w:val="00AE3652"/>
    <w:rsid w:val="00AE6093"/>
    <w:rsid w:val="00AE6EE8"/>
    <w:rsid w:val="00AF23A8"/>
    <w:rsid w:val="00AF273C"/>
    <w:rsid w:val="00AF337A"/>
    <w:rsid w:val="00AF34E9"/>
    <w:rsid w:val="00AF38C4"/>
    <w:rsid w:val="00AF4713"/>
    <w:rsid w:val="00AF4A7F"/>
    <w:rsid w:val="00AF4F47"/>
    <w:rsid w:val="00AF5AE1"/>
    <w:rsid w:val="00AF611D"/>
    <w:rsid w:val="00AF6D0B"/>
    <w:rsid w:val="00B02049"/>
    <w:rsid w:val="00B02D0B"/>
    <w:rsid w:val="00B035F8"/>
    <w:rsid w:val="00B03845"/>
    <w:rsid w:val="00B043D7"/>
    <w:rsid w:val="00B06CD5"/>
    <w:rsid w:val="00B11124"/>
    <w:rsid w:val="00B113CD"/>
    <w:rsid w:val="00B121BF"/>
    <w:rsid w:val="00B137A4"/>
    <w:rsid w:val="00B139AD"/>
    <w:rsid w:val="00B139E4"/>
    <w:rsid w:val="00B13D01"/>
    <w:rsid w:val="00B1454C"/>
    <w:rsid w:val="00B14EDC"/>
    <w:rsid w:val="00B1641F"/>
    <w:rsid w:val="00B17093"/>
    <w:rsid w:val="00B1749C"/>
    <w:rsid w:val="00B17DE1"/>
    <w:rsid w:val="00B20BE6"/>
    <w:rsid w:val="00B20E11"/>
    <w:rsid w:val="00B22C21"/>
    <w:rsid w:val="00B23258"/>
    <w:rsid w:val="00B25D64"/>
    <w:rsid w:val="00B30D4A"/>
    <w:rsid w:val="00B31C0F"/>
    <w:rsid w:val="00B31FBF"/>
    <w:rsid w:val="00B32144"/>
    <w:rsid w:val="00B33C88"/>
    <w:rsid w:val="00B34999"/>
    <w:rsid w:val="00B353FA"/>
    <w:rsid w:val="00B35A4F"/>
    <w:rsid w:val="00B3687B"/>
    <w:rsid w:val="00B36F92"/>
    <w:rsid w:val="00B373FB"/>
    <w:rsid w:val="00B401A2"/>
    <w:rsid w:val="00B406BE"/>
    <w:rsid w:val="00B4256E"/>
    <w:rsid w:val="00B42A1B"/>
    <w:rsid w:val="00B43FED"/>
    <w:rsid w:val="00B440A3"/>
    <w:rsid w:val="00B45889"/>
    <w:rsid w:val="00B458B6"/>
    <w:rsid w:val="00B46526"/>
    <w:rsid w:val="00B47055"/>
    <w:rsid w:val="00B50235"/>
    <w:rsid w:val="00B50B78"/>
    <w:rsid w:val="00B51D29"/>
    <w:rsid w:val="00B526F0"/>
    <w:rsid w:val="00B532A9"/>
    <w:rsid w:val="00B533D3"/>
    <w:rsid w:val="00B53694"/>
    <w:rsid w:val="00B5395F"/>
    <w:rsid w:val="00B53FD3"/>
    <w:rsid w:val="00B559FD"/>
    <w:rsid w:val="00B564FE"/>
    <w:rsid w:val="00B56A7A"/>
    <w:rsid w:val="00B63A79"/>
    <w:rsid w:val="00B674B9"/>
    <w:rsid w:val="00B72200"/>
    <w:rsid w:val="00B74A48"/>
    <w:rsid w:val="00B75BA6"/>
    <w:rsid w:val="00B76C86"/>
    <w:rsid w:val="00B77764"/>
    <w:rsid w:val="00B77CD4"/>
    <w:rsid w:val="00B81013"/>
    <w:rsid w:val="00B83AC5"/>
    <w:rsid w:val="00B87001"/>
    <w:rsid w:val="00B923A4"/>
    <w:rsid w:val="00B9445C"/>
    <w:rsid w:val="00B94C02"/>
    <w:rsid w:val="00B95426"/>
    <w:rsid w:val="00B96BCD"/>
    <w:rsid w:val="00B96C63"/>
    <w:rsid w:val="00B976D2"/>
    <w:rsid w:val="00BA089C"/>
    <w:rsid w:val="00BA101E"/>
    <w:rsid w:val="00BA13F1"/>
    <w:rsid w:val="00BA2DBA"/>
    <w:rsid w:val="00BA3B42"/>
    <w:rsid w:val="00BA6761"/>
    <w:rsid w:val="00BA69F6"/>
    <w:rsid w:val="00BA724A"/>
    <w:rsid w:val="00BB103E"/>
    <w:rsid w:val="00BB275D"/>
    <w:rsid w:val="00BB393E"/>
    <w:rsid w:val="00BB4118"/>
    <w:rsid w:val="00BB44F1"/>
    <w:rsid w:val="00BB52F3"/>
    <w:rsid w:val="00BB567B"/>
    <w:rsid w:val="00BB5FBF"/>
    <w:rsid w:val="00BB6883"/>
    <w:rsid w:val="00BB6BED"/>
    <w:rsid w:val="00BB6C66"/>
    <w:rsid w:val="00BB712F"/>
    <w:rsid w:val="00BB77C4"/>
    <w:rsid w:val="00BB7CD8"/>
    <w:rsid w:val="00BC0776"/>
    <w:rsid w:val="00BC0A73"/>
    <w:rsid w:val="00BC12F3"/>
    <w:rsid w:val="00BC33B3"/>
    <w:rsid w:val="00BC3A48"/>
    <w:rsid w:val="00BC45EB"/>
    <w:rsid w:val="00BC4D37"/>
    <w:rsid w:val="00BC53C3"/>
    <w:rsid w:val="00BC545D"/>
    <w:rsid w:val="00BC6708"/>
    <w:rsid w:val="00BC743E"/>
    <w:rsid w:val="00BD19D2"/>
    <w:rsid w:val="00BD1FBC"/>
    <w:rsid w:val="00BD28F9"/>
    <w:rsid w:val="00BD2B61"/>
    <w:rsid w:val="00BD3E77"/>
    <w:rsid w:val="00BE199A"/>
    <w:rsid w:val="00BE25C8"/>
    <w:rsid w:val="00BE27A1"/>
    <w:rsid w:val="00BE3703"/>
    <w:rsid w:val="00BE431D"/>
    <w:rsid w:val="00BE4EDC"/>
    <w:rsid w:val="00BE5470"/>
    <w:rsid w:val="00BE5710"/>
    <w:rsid w:val="00BF0565"/>
    <w:rsid w:val="00BF0899"/>
    <w:rsid w:val="00BF0C1D"/>
    <w:rsid w:val="00BF0CC2"/>
    <w:rsid w:val="00BF1469"/>
    <w:rsid w:val="00BF1702"/>
    <w:rsid w:val="00BF3C39"/>
    <w:rsid w:val="00BF3FDF"/>
    <w:rsid w:val="00BF455F"/>
    <w:rsid w:val="00BF4657"/>
    <w:rsid w:val="00BF478E"/>
    <w:rsid w:val="00BF5FD5"/>
    <w:rsid w:val="00BF6535"/>
    <w:rsid w:val="00BF66DB"/>
    <w:rsid w:val="00BF68D8"/>
    <w:rsid w:val="00C00652"/>
    <w:rsid w:val="00C015C2"/>
    <w:rsid w:val="00C01C62"/>
    <w:rsid w:val="00C022AC"/>
    <w:rsid w:val="00C03167"/>
    <w:rsid w:val="00C03792"/>
    <w:rsid w:val="00C03C48"/>
    <w:rsid w:val="00C05FC6"/>
    <w:rsid w:val="00C0610B"/>
    <w:rsid w:val="00C0629D"/>
    <w:rsid w:val="00C07509"/>
    <w:rsid w:val="00C10490"/>
    <w:rsid w:val="00C112B1"/>
    <w:rsid w:val="00C12670"/>
    <w:rsid w:val="00C12E84"/>
    <w:rsid w:val="00C14ACC"/>
    <w:rsid w:val="00C14B84"/>
    <w:rsid w:val="00C15D8E"/>
    <w:rsid w:val="00C163A0"/>
    <w:rsid w:val="00C175E7"/>
    <w:rsid w:val="00C17ADA"/>
    <w:rsid w:val="00C17DA1"/>
    <w:rsid w:val="00C20A7A"/>
    <w:rsid w:val="00C21AB9"/>
    <w:rsid w:val="00C21C79"/>
    <w:rsid w:val="00C21FE0"/>
    <w:rsid w:val="00C22AA8"/>
    <w:rsid w:val="00C22D7A"/>
    <w:rsid w:val="00C22E06"/>
    <w:rsid w:val="00C27D72"/>
    <w:rsid w:val="00C30BC9"/>
    <w:rsid w:val="00C3439E"/>
    <w:rsid w:val="00C3454F"/>
    <w:rsid w:val="00C35296"/>
    <w:rsid w:val="00C35DD6"/>
    <w:rsid w:val="00C3671A"/>
    <w:rsid w:val="00C36EE3"/>
    <w:rsid w:val="00C372F7"/>
    <w:rsid w:val="00C401D7"/>
    <w:rsid w:val="00C410ED"/>
    <w:rsid w:val="00C46E0A"/>
    <w:rsid w:val="00C50A8B"/>
    <w:rsid w:val="00C51C93"/>
    <w:rsid w:val="00C5322D"/>
    <w:rsid w:val="00C560F7"/>
    <w:rsid w:val="00C566A6"/>
    <w:rsid w:val="00C56CFC"/>
    <w:rsid w:val="00C56E8F"/>
    <w:rsid w:val="00C57285"/>
    <w:rsid w:val="00C61EE5"/>
    <w:rsid w:val="00C63899"/>
    <w:rsid w:val="00C63BF1"/>
    <w:rsid w:val="00C64271"/>
    <w:rsid w:val="00C6470D"/>
    <w:rsid w:val="00C6692C"/>
    <w:rsid w:val="00C66BA2"/>
    <w:rsid w:val="00C7046F"/>
    <w:rsid w:val="00C7074E"/>
    <w:rsid w:val="00C71A47"/>
    <w:rsid w:val="00C72462"/>
    <w:rsid w:val="00C74FAE"/>
    <w:rsid w:val="00C80355"/>
    <w:rsid w:val="00C80BC7"/>
    <w:rsid w:val="00C81398"/>
    <w:rsid w:val="00C816F1"/>
    <w:rsid w:val="00C83071"/>
    <w:rsid w:val="00C833CA"/>
    <w:rsid w:val="00C844D4"/>
    <w:rsid w:val="00C84CEA"/>
    <w:rsid w:val="00C85D8F"/>
    <w:rsid w:val="00C87C9B"/>
    <w:rsid w:val="00C87F87"/>
    <w:rsid w:val="00C909BA"/>
    <w:rsid w:val="00C9246E"/>
    <w:rsid w:val="00C92A61"/>
    <w:rsid w:val="00C933E1"/>
    <w:rsid w:val="00C943C4"/>
    <w:rsid w:val="00C94BC2"/>
    <w:rsid w:val="00C95F91"/>
    <w:rsid w:val="00C96376"/>
    <w:rsid w:val="00C96B51"/>
    <w:rsid w:val="00C977D7"/>
    <w:rsid w:val="00CA1F46"/>
    <w:rsid w:val="00CA2536"/>
    <w:rsid w:val="00CA35E1"/>
    <w:rsid w:val="00CA3FEB"/>
    <w:rsid w:val="00CA6512"/>
    <w:rsid w:val="00CA6737"/>
    <w:rsid w:val="00CB01D2"/>
    <w:rsid w:val="00CB089F"/>
    <w:rsid w:val="00CB27C8"/>
    <w:rsid w:val="00CB3A73"/>
    <w:rsid w:val="00CB4B42"/>
    <w:rsid w:val="00CB6279"/>
    <w:rsid w:val="00CB6D5E"/>
    <w:rsid w:val="00CB746A"/>
    <w:rsid w:val="00CB7513"/>
    <w:rsid w:val="00CC049C"/>
    <w:rsid w:val="00CC059E"/>
    <w:rsid w:val="00CC0769"/>
    <w:rsid w:val="00CC2E4F"/>
    <w:rsid w:val="00CC3369"/>
    <w:rsid w:val="00CC63D5"/>
    <w:rsid w:val="00CC6F7D"/>
    <w:rsid w:val="00CC7BD1"/>
    <w:rsid w:val="00CD0F2B"/>
    <w:rsid w:val="00CD31DF"/>
    <w:rsid w:val="00CD5677"/>
    <w:rsid w:val="00CD715D"/>
    <w:rsid w:val="00CD74C5"/>
    <w:rsid w:val="00CE0422"/>
    <w:rsid w:val="00CE1ACD"/>
    <w:rsid w:val="00CE280D"/>
    <w:rsid w:val="00CE2FA0"/>
    <w:rsid w:val="00CE3153"/>
    <w:rsid w:val="00CE372E"/>
    <w:rsid w:val="00CE525E"/>
    <w:rsid w:val="00CE57EF"/>
    <w:rsid w:val="00CE62CD"/>
    <w:rsid w:val="00CE6972"/>
    <w:rsid w:val="00CF07C9"/>
    <w:rsid w:val="00CF0E8A"/>
    <w:rsid w:val="00CF0F46"/>
    <w:rsid w:val="00CF1094"/>
    <w:rsid w:val="00CF13AE"/>
    <w:rsid w:val="00CF2EF2"/>
    <w:rsid w:val="00CF3DBE"/>
    <w:rsid w:val="00CF519F"/>
    <w:rsid w:val="00CF6E42"/>
    <w:rsid w:val="00CF6FFE"/>
    <w:rsid w:val="00CF7ABD"/>
    <w:rsid w:val="00D01081"/>
    <w:rsid w:val="00D01294"/>
    <w:rsid w:val="00D03E6B"/>
    <w:rsid w:val="00D043DD"/>
    <w:rsid w:val="00D05004"/>
    <w:rsid w:val="00D05F2D"/>
    <w:rsid w:val="00D06144"/>
    <w:rsid w:val="00D06EE6"/>
    <w:rsid w:val="00D07A82"/>
    <w:rsid w:val="00D11F87"/>
    <w:rsid w:val="00D124AB"/>
    <w:rsid w:val="00D13005"/>
    <w:rsid w:val="00D13D62"/>
    <w:rsid w:val="00D14818"/>
    <w:rsid w:val="00D1513B"/>
    <w:rsid w:val="00D15AA7"/>
    <w:rsid w:val="00D15CDB"/>
    <w:rsid w:val="00D1645B"/>
    <w:rsid w:val="00D16CC2"/>
    <w:rsid w:val="00D17EB5"/>
    <w:rsid w:val="00D20974"/>
    <w:rsid w:val="00D20EB2"/>
    <w:rsid w:val="00D21919"/>
    <w:rsid w:val="00D23C66"/>
    <w:rsid w:val="00D24C43"/>
    <w:rsid w:val="00D24C93"/>
    <w:rsid w:val="00D32FC4"/>
    <w:rsid w:val="00D35F4E"/>
    <w:rsid w:val="00D36B78"/>
    <w:rsid w:val="00D40F42"/>
    <w:rsid w:val="00D431BB"/>
    <w:rsid w:val="00D440A4"/>
    <w:rsid w:val="00D4536E"/>
    <w:rsid w:val="00D45AD7"/>
    <w:rsid w:val="00D45DC2"/>
    <w:rsid w:val="00D4676F"/>
    <w:rsid w:val="00D47296"/>
    <w:rsid w:val="00D54680"/>
    <w:rsid w:val="00D551F5"/>
    <w:rsid w:val="00D55E11"/>
    <w:rsid w:val="00D5684A"/>
    <w:rsid w:val="00D5737E"/>
    <w:rsid w:val="00D60164"/>
    <w:rsid w:val="00D6191F"/>
    <w:rsid w:val="00D61D9C"/>
    <w:rsid w:val="00D64182"/>
    <w:rsid w:val="00D64AEA"/>
    <w:rsid w:val="00D65530"/>
    <w:rsid w:val="00D670CA"/>
    <w:rsid w:val="00D72987"/>
    <w:rsid w:val="00D743C7"/>
    <w:rsid w:val="00D74795"/>
    <w:rsid w:val="00D759B3"/>
    <w:rsid w:val="00D75AFE"/>
    <w:rsid w:val="00D766F8"/>
    <w:rsid w:val="00D77FAE"/>
    <w:rsid w:val="00D81AB5"/>
    <w:rsid w:val="00D81EFF"/>
    <w:rsid w:val="00D82E16"/>
    <w:rsid w:val="00D8325D"/>
    <w:rsid w:val="00D83CE5"/>
    <w:rsid w:val="00D8547A"/>
    <w:rsid w:val="00D85F2D"/>
    <w:rsid w:val="00D87427"/>
    <w:rsid w:val="00D876E7"/>
    <w:rsid w:val="00D90284"/>
    <w:rsid w:val="00D92BA5"/>
    <w:rsid w:val="00D9477F"/>
    <w:rsid w:val="00D94D23"/>
    <w:rsid w:val="00D969EF"/>
    <w:rsid w:val="00D970A1"/>
    <w:rsid w:val="00DA00B2"/>
    <w:rsid w:val="00DA0B34"/>
    <w:rsid w:val="00DA163E"/>
    <w:rsid w:val="00DA1D49"/>
    <w:rsid w:val="00DA2373"/>
    <w:rsid w:val="00DA37DE"/>
    <w:rsid w:val="00DA3C9F"/>
    <w:rsid w:val="00DA5214"/>
    <w:rsid w:val="00DA62E6"/>
    <w:rsid w:val="00DA65FC"/>
    <w:rsid w:val="00DA672D"/>
    <w:rsid w:val="00DB016C"/>
    <w:rsid w:val="00DB0546"/>
    <w:rsid w:val="00DB06C0"/>
    <w:rsid w:val="00DB57BA"/>
    <w:rsid w:val="00DB6847"/>
    <w:rsid w:val="00DB6BDD"/>
    <w:rsid w:val="00DB7F3C"/>
    <w:rsid w:val="00DC207D"/>
    <w:rsid w:val="00DC3683"/>
    <w:rsid w:val="00DC497B"/>
    <w:rsid w:val="00DC7CAC"/>
    <w:rsid w:val="00DD1B95"/>
    <w:rsid w:val="00DD2410"/>
    <w:rsid w:val="00DD4E5E"/>
    <w:rsid w:val="00DD5EB5"/>
    <w:rsid w:val="00DD65DB"/>
    <w:rsid w:val="00DD7E55"/>
    <w:rsid w:val="00DE159A"/>
    <w:rsid w:val="00DE159D"/>
    <w:rsid w:val="00DE2F47"/>
    <w:rsid w:val="00DE43B5"/>
    <w:rsid w:val="00DE6AB7"/>
    <w:rsid w:val="00DE6CDF"/>
    <w:rsid w:val="00DE7464"/>
    <w:rsid w:val="00DF02FB"/>
    <w:rsid w:val="00DF0F82"/>
    <w:rsid w:val="00DF0F98"/>
    <w:rsid w:val="00DF27FE"/>
    <w:rsid w:val="00DF305E"/>
    <w:rsid w:val="00DF3D3D"/>
    <w:rsid w:val="00DF5396"/>
    <w:rsid w:val="00DF5922"/>
    <w:rsid w:val="00DF5D6A"/>
    <w:rsid w:val="00DF65F1"/>
    <w:rsid w:val="00E0135F"/>
    <w:rsid w:val="00E0390F"/>
    <w:rsid w:val="00E0671D"/>
    <w:rsid w:val="00E0694C"/>
    <w:rsid w:val="00E07C57"/>
    <w:rsid w:val="00E1082A"/>
    <w:rsid w:val="00E10893"/>
    <w:rsid w:val="00E1126E"/>
    <w:rsid w:val="00E12C06"/>
    <w:rsid w:val="00E1628E"/>
    <w:rsid w:val="00E168D5"/>
    <w:rsid w:val="00E212DA"/>
    <w:rsid w:val="00E2473C"/>
    <w:rsid w:val="00E25EAC"/>
    <w:rsid w:val="00E265BC"/>
    <w:rsid w:val="00E3024D"/>
    <w:rsid w:val="00E3054F"/>
    <w:rsid w:val="00E3056C"/>
    <w:rsid w:val="00E31DE7"/>
    <w:rsid w:val="00E325F3"/>
    <w:rsid w:val="00E3268F"/>
    <w:rsid w:val="00E34AC6"/>
    <w:rsid w:val="00E37D9E"/>
    <w:rsid w:val="00E404D6"/>
    <w:rsid w:val="00E40A2C"/>
    <w:rsid w:val="00E41345"/>
    <w:rsid w:val="00E416AC"/>
    <w:rsid w:val="00E41B51"/>
    <w:rsid w:val="00E438D8"/>
    <w:rsid w:val="00E45D84"/>
    <w:rsid w:val="00E46AA0"/>
    <w:rsid w:val="00E47F7F"/>
    <w:rsid w:val="00E51EB6"/>
    <w:rsid w:val="00E520A6"/>
    <w:rsid w:val="00E52953"/>
    <w:rsid w:val="00E53956"/>
    <w:rsid w:val="00E53EE6"/>
    <w:rsid w:val="00E56A43"/>
    <w:rsid w:val="00E573AB"/>
    <w:rsid w:val="00E57D32"/>
    <w:rsid w:val="00E57FBC"/>
    <w:rsid w:val="00E614DB"/>
    <w:rsid w:val="00E65546"/>
    <w:rsid w:val="00E66505"/>
    <w:rsid w:val="00E712C6"/>
    <w:rsid w:val="00E716CF"/>
    <w:rsid w:val="00E717AC"/>
    <w:rsid w:val="00E720C3"/>
    <w:rsid w:val="00E74FAF"/>
    <w:rsid w:val="00E75F8C"/>
    <w:rsid w:val="00E76951"/>
    <w:rsid w:val="00E811A8"/>
    <w:rsid w:val="00E81BB5"/>
    <w:rsid w:val="00E82B16"/>
    <w:rsid w:val="00E838F5"/>
    <w:rsid w:val="00E8565F"/>
    <w:rsid w:val="00E86AC6"/>
    <w:rsid w:val="00E90C31"/>
    <w:rsid w:val="00E90CEF"/>
    <w:rsid w:val="00E91201"/>
    <w:rsid w:val="00E91E77"/>
    <w:rsid w:val="00E92A7E"/>
    <w:rsid w:val="00E953F0"/>
    <w:rsid w:val="00E9767B"/>
    <w:rsid w:val="00E97804"/>
    <w:rsid w:val="00EA0B20"/>
    <w:rsid w:val="00EA1F19"/>
    <w:rsid w:val="00EA3667"/>
    <w:rsid w:val="00EA6BE4"/>
    <w:rsid w:val="00EA6E19"/>
    <w:rsid w:val="00EA6F47"/>
    <w:rsid w:val="00EB05E6"/>
    <w:rsid w:val="00EB181A"/>
    <w:rsid w:val="00EB2388"/>
    <w:rsid w:val="00EB35D2"/>
    <w:rsid w:val="00EB5814"/>
    <w:rsid w:val="00EB5A1D"/>
    <w:rsid w:val="00EB77C9"/>
    <w:rsid w:val="00EC1028"/>
    <w:rsid w:val="00EC14C6"/>
    <w:rsid w:val="00EC2D9B"/>
    <w:rsid w:val="00EC2DF5"/>
    <w:rsid w:val="00EC346C"/>
    <w:rsid w:val="00EC44DE"/>
    <w:rsid w:val="00EC4F2B"/>
    <w:rsid w:val="00EC4FE8"/>
    <w:rsid w:val="00EC5D79"/>
    <w:rsid w:val="00EC75E1"/>
    <w:rsid w:val="00ED1990"/>
    <w:rsid w:val="00ED1E40"/>
    <w:rsid w:val="00ED4F50"/>
    <w:rsid w:val="00ED50C5"/>
    <w:rsid w:val="00ED68B7"/>
    <w:rsid w:val="00EE0C86"/>
    <w:rsid w:val="00EE10A0"/>
    <w:rsid w:val="00EE183E"/>
    <w:rsid w:val="00EE1B87"/>
    <w:rsid w:val="00EE2834"/>
    <w:rsid w:val="00EE55EC"/>
    <w:rsid w:val="00EE6E5C"/>
    <w:rsid w:val="00EE7A05"/>
    <w:rsid w:val="00EF074B"/>
    <w:rsid w:val="00EF30EF"/>
    <w:rsid w:val="00EF48C6"/>
    <w:rsid w:val="00EF5910"/>
    <w:rsid w:val="00EF59CC"/>
    <w:rsid w:val="00EF6919"/>
    <w:rsid w:val="00EF6E5F"/>
    <w:rsid w:val="00EF7E27"/>
    <w:rsid w:val="00F02324"/>
    <w:rsid w:val="00F02C66"/>
    <w:rsid w:val="00F03609"/>
    <w:rsid w:val="00F043E7"/>
    <w:rsid w:val="00F04FC6"/>
    <w:rsid w:val="00F054D0"/>
    <w:rsid w:val="00F05A30"/>
    <w:rsid w:val="00F0649F"/>
    <w:rsid w:val="00F073E3"/>
    <w:rsid w:val="00F10314"/>
    <w:rsid w:val="00F10A31"/>
    <w:rsid w:val="00F11236"/>
    <w:rsid w:val="00F124E1"/>
    <w:rsid w:val="00F136FA"/>
    <w:rsid w:val="00F1371B"/>
    <w:rsid w:val="00F160C8"/>
    <w:rsid w:val="00F16777"/>
    <w:rsid w:val="00F17C03"/>
    <w:rsid w:val="00F17EFE"/>
    <w:rsid w:val="00F2201D"/>
    <w:rsid w:val="00F226DA"/>
    <w:rsid w:val="00F229C6"/>
    <w:rsid w:val="00F22DAC"/>
    <w:rsid w:val="00F257F7"/>
    <w:rsid w:val="00F25817"/>
    <w:rsid w:val="00F25A6A"/>
    <w:rsid w:val="00F30499"/>
    <w:rsid w:val="00F33517"/>
    <w:rsid w:val="00F37292"/>
    <w:rsid w:val="00F379B3"/>
    <w:rsid w:val="00F445B2"/>
    <w:rsid w:val="00F44C43"/>
    <w:rsid w:val="00F45759"/>
    <w:rsid w:val="00F47AAB"/>
    <w:rsid w:val="00F50852"/>
    <w:rsid w:val="00F513D5"/>
    <w:rsid w:val="00F5151B"/>
    <w:rsid w:val="00F51A8E"/>
    <w:rsid w:val="00F51FC0"/>
    <w:rsid w:val="00F524CE"/>
    <w:rsid w:val="00F52C0F"/>
    <w:rsid w:val="00F54A1C"/>
    <w:rsid w:val="00F55890"/>
    <w:rsid w:val="00F57289"/>
    <w:rsid w:val="00F602BD"/>
    <w:rsid w:val="00F6147E"/>
    <w:rsid w:val="00F615CF"/>
    <w:rsid w:val="00F6381F"/>
    <w:rsid w:val="00F64260"/>
    <w:rsid w:val="00F64F05"/>
    <w:rsid w:val="00F66317"/>
    <w:rsid w:val="00F6659C"/>
    <w:rsid w:val="00F66874"/>
    <w:rsid w:val="00F66B10"/>
    <w:rsid w:val="00F678C3"/>
    <w:rsid w:val="00F70A2A"/>
    <w:rsid w:val="00F70AE4"/>
    <w:rsid w:val="00F74DE1"/>
    <w:rsid w:val="00F74E3F"/>
    <w:rsid w:val="00F74EA7"/>
    <w:rsid w:val="00F809EC"/>
    <w:rsid w:val="00F81577"/>
    <w:rsid w:val="00F82311"/>
    <w:rsid w:val="00F82BB8"/>
    <w:rsid w:val="00F84830"/>
    <w:rsid w:val="00F85C67"/>
    <w:rsid w:val="00F8616B"/>
    <w:rsid w:val="00F870D1"/>
    <w:rsid w:val="00F8753B"/>
    <w:rsid w:val="00F87860"/>
    <w:rsid w:val="00F87E86"/>
    <w:rsid w:val="00F91B83"/>
    <w:rsid w:val="00F962AD"/>
    <w:rsid w:val="00F9706A"/>
    <w:rsid w:val="00FA1160"/>
    <w:rsid w:val="00FA13C3"/>
    <w:rsid w:val="00FA3F22"/>
    <w:rsid w:val="00FA7793"/>
    <w:rsid w:val="00FB1724"/>
    <w:rsid w:val="00FB1DD8"/>
    <w:rsid w:val="00FB2ED0"/>
    <w:rsid w:val="00FB3116"/>
    <w:rsid w:val="00FB3A0D"/>
    <w:rsid w:val="00FB3AEE"/>
    <w:rsid w:val="00FB4B6C"/>
    <w:rsid w:val="00FB4C23"/>
    <w:rsid w:val="00FB5170"/>
    <w:rsid w:val="00FB5387"/>
    <w:rsid w:val="00FB5C46"/>
    <w:rsid w:val="00FB6282"/>
    <w:rsid w:val="00FC0CE4"/>
    <w:rsid w:val="00FC1112"/>
    <w:rsid w:val="00FC1830"/>
    <w:rsid w:val="00FC2BDC"/>
    <w:rsid w:val="00FC3948"/>
    <w:rsid w:val="00FC4EAD"/>
    <w:rsid w:val="00FC59A3"/>
    <w:rsid w:val="00FC6117"/>
    <w:rsid w:val="00FC6A36"/>
    <w:rsid w:val="00FD0343"/>
    <w:rsid w:val="00FD108A"/>
    <w:rsid w:val="00FD1E00"/>
    <w:rsid w:val="00FD2393"/>
    <w:rsid w:val="00FD25D7"/>
    <w:rsid w:val="00FD488D"/>
    <w:rsid w:val="00FD6970"/>
    <w:rsid w:val="00FD6C05"/>
    <w:rsid w:val="00FD71C8"/>
    <w:rsid w:val="00FD72A6"/>
    <w:rsid w:val="00FD763C"/>
    <w:rsid w:val="00FE0426"/>
    <w:rsid w:val="00FE0551"/>
    <w:rsid w:val="00FE11AA"/>
    <w:rsid w:val="00FE38D3"/>
    <w:rsid w:val="00FE714E"/>
    <w:rsid w:val="00FF101D"/>
    <w:rsid w:val="00FF1165"/>
    <w:rsid w:val="00FF3615"/>
    <w:rsid w:val="00FF3FEF"/>
    <w:rsid w:val="00FF49E4"/>
    <w:rsid w:val="00FF51B9"/>
    <w:rsid w:val="00FF58F9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E0726999-6304-4DE6-89C6-02BFF7FE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908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locked/>
    <w:rsid w:val="00490854"/>
    <w:rPr>
      <w:rFonts w:ascii="Tahoma" w:hAnsi="Tahoma" w:cs="Tahoma"/>
      <w:sz w:val="16"/>
      <w:szCs w:val="16"/>
    </w:rPr>
  </w:style>
  <w:style w:type="paragraph" w:customStyle="1" w:styleId="21">
    <w:name w:val="Знак2 Знак Знак Знак Знак Знак Знак1"/>
    <w:basedOn w:val="a"/>
    <w:rsid w:val="00C20A7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">
    <w:name w:val="Знак2 Знак Знак Знак"/>
    <w:basedOn w:val="a"/>
    <w:rsid w:val="00553A1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"/>
    <w:basedOn w:val="a"/>
    <w:rsid w:val="0030762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Знак2 Знак Знак Знак Знак Знак Знак11"/>
    <w:basedOn w:val="a"/>
    <w:rsid w:val="00C6389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1">
    <w:name w:val="Знак3 Знак Знак Знак1 Знак Знак Знак1"/>
    <w:basedOn w:val="a"/>
    <w:rsid w:val="00C6389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6">
    <w:name w:val="Знак3 Знак Знак Знак1 Знак Знак Знак6"/>
    <w:basedOn w:val="a"/>
    <w:rsid w:val="00990C5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5">
    <w:name w:val="Знак3 Знак Знак Знак1 Знак Знак Знак5"/>
    <w:basedOn w:val="a"/>
    <w:rsid w:val="00C05FC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4">
    <w:name w:val="Знак3 Знак Знак Знак1 Знак Знак Знак4"/>
    <w:basedOn w:val="a"/>
    <w:rsid w:val="006E2A0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locked/>
    <w:rsid w:val="006E2A07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6"/>
      <w:lang w:val="en-US" w:eastAsia="ru-RU"/>
    </w:rPr>
  </w:style>
  <w:style w:type="character" w:customStyle="1" w:styleId="a6">
    <w:name w:val="Название Знак"/>
    <w:link w:val="a5"/>
    <w:locked/>
    <w:rsid w:val="006E2A07"/>
    <w:rPr>
      <w:rFonts w:ascii="Arial" w:hAnsi="Arial" w:cs="Arial"/>
      <w:b/>
      <w:bCs/>
      <w:sz w:val="26"/>
      <w:szCs w:val="26"/>
      <w:lang w:val="en-US"/>
    </w:rPr>
  </w:style>
  <w:style w:type="paragraph" w:customStyle="1" w:styleId="313">
    <w:name w:val="Знак3 Знак Знак Знак1 Знак Знак Знак3"/>
    <w:basedOn w:val="a"/>
    <w:rsid w:val="0023240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52F2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352F2B"/>
    <w:rPr>
      <w:rFonts w:ascii="Times New Roman" w:hAnsi="Times New Roman" w:cs="Times New Roman"/>
      <w:sz w:val="24"/>
      <w:szCs w:val="24"/>
    </w:rPr>
  </w:style>
  <w:style w:type="paragraph" w:customStyle="1" w:styleId="312">
    <w:name w:val="Знак3 Знак Знак Знак1 Знак Знак Знак2"/>
    <w:basedOn w:val="a"/>
    <w:rsid w:val="00F615C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locked/>
    <w:rsid w:val="0095378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81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5DB7"/>
    <w:rPr>
      <w:rFonts w:cs="Calibri"/>
      <w:lang w:eastAsia="en-US"/>
    </w:rPr>
  </w:style>
  <w:style w:type="character" w:styleId="ac">
    <w:name w:val="page number"/>
    <w:rsid w:val="00D81AB5"/>
    <w:rPr>
      <w:rFonts w:cs="Times New Roman"/>
    </w:rPr>
  </w:style>
  <w:style w:type="paragraph" w:styleId="ad">
    <w:name w:val="header"/>
    <w:basedOn w:val="a"/>
    <w:rsid w:val="004837E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f"/>
    <w:uiPriority w:val="34"/>
    <w:qFormat/>
    <w:rsid w:val="004A24B8"/>
    <w:pPr>
      <w:ind w:left="720"/>
      <w:contextualSpacing/>
    </w:pPr>
    <w:rPr>
      <w:rFonts w:cs="Times New Roman"/>
    </w:rPr>
  </w:style>
  <w:style w:type="character" w:customStyle="1" w:styleId="af">
    <w:name w:val="Абзац списка Знак"/>
    <w:link w:val="ae"/>
    <w:uiPriority w:val="34"/>
    <w:rsid w:val="004A24B8"/>
    <w:rPr>
      <w:rFonts w:eastAsia="Times New Roman"/>
      <w:sz w:val="22"/>
      <w:szCs w:val="22"/>
      <w:lang w:eastAsia="en-US"/>
    </w:rPr>
  </w:style>
  <w:style w:type="table" w:styleId="af0">
    <w:name w:val="Table Elegant"/>
    <w:basedOn w:val="a1"/>
    <w:rsid w:val="00241D4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1D4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41D4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41D4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No Spacing"/>
    <w:link w:val="af2"/>
    <w:uiPriority w:val="99"/>
    <w:qFormat/>
    <w:rsid w:val="00724288"/>
    <w:rPr>
      <w:rFonts w:eastAsia="Times New Roman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288"/>
    <w:rPr>
      <w:rFonts w:ascii="Courier New" w:eastAsia="Times New Roman" w:hAnsi="Courier New"/>
    </w:rPr>
  </w:style>
  <w:style w:type="paragraph" w:customStyle="1" w:styleId="ConsPlusNormal">
    <w:name w:val="ConsPlusNormal"/>
    <w:link w:val="ConsPlusNormal0"/>
    <w:rsid w:val="002B7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8">
    <w:name w:val="Char Style 8"/>
    <w:rsid w:val="00A44CC8"/>
    <w:rPr>
      <w:b/>
      <w:bCs/>
      <w:sz w:val="27"/>
      <w:szCs w:val="27"/>
      <w:lang w:eastAsia="ar-SA" w:bidi="ar-SA"/>
    </w:rPr>
  </w:style>
  <w:style w:type="paragraph" w:styleId="af3">
    <w:name w:val="footnote text"/>
    <w:basedOn w:val="a"/>
    <w:link w:val="af4"/>
    <w:rsid w:val="002C601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C601B"/>
    <w:rPr>
      <w:rFonts w:ascii="Times New Roman" w:eastAsia="Times New Roman" w:hAnsi="Times New Roman"/>
    </w:rPr>
  </w:style>
  <w:style w:type="character" w:styleId="af5">
    <w:name w:val="footnote reference"/>
    <w:rsid w:val="002C601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C059E"/>
    <w:rPr>
      <w:rFonts w:ascii="Arial" w:eastAsia="Times New Roman" w:hAnsi="Arial" w:cs="Arial"/>
    </w:rPr>
  </w:style>
  <w:style w:type="paragraph" w:styleId="20">
    <w:name w:val="Body Text Indent 2"/>
    <w:basedOn w:val="a"/>
    <w:link w:val="22"/>
    <w:semiHidden/>
    <w:unhideWhenUsed/>
    <w:rsid w:val="005F79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5F79A6"/>
    <w:rPr>
      <w:rFonts w:eastAsia="Times New Roman" w:cs="Calibri"/>
      <w:sz w:val="22"/>
      <w:szCs w:val="22"/>
      <w:lang w:eastAsia="en-US"/>
    </w:rPr>
  </w:style>
  <w:style w:type="character" w:styleId="af6">
    <w:name w:val="annotation reference"/>
    <w:basedOn w:val="a0"/>
    <w:semiHidden/>
    <w:unhideWhenUsed/>
    <w:rsid w:val="005F79A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F79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F79A6"/>
    <w:rPr>
      <w:rFonts w:eastAsia="Times New Roman"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99"/>
    <w:rsid w:val="00990F27"/>
    <w:rPr>
      <w:rFonts w:eastAsia="Times New Roman" w:cs="Calibri"/>
      <w:sz w:val="22"/>
      <w:szCs w:val="22"/>
      <w:lang w:eastAsia="en-US"/>
    </w:rPr>
  </w:style>
  <w:style w:type="paragraph" w:customStyle="1" w:styleId="4">
    <w:name w:val="Знак Знак4 Знак Знак Знак Знак"/>
    <w:basedOn w:val="a"/>
    <w:uiPriority w:val="99"/>
    <w:rsid w:val="00F22DA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9">
    <w:name w:val="Normal (Web)"/>
    <w:basedOn w:val="a"/>
    <w:link w:val="afa"/>
    <w:uiPriority w:val="99"/>
    <w:rsid w:val="00F22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840"/>
  </w:style>
  <w:style w:type="character" w:customStyle="1" w:styleId="txt">
    <w:name w:val="txt"/>
    <w:basedOn w:val="a0"/>
    <w:rsid w:val="005B523D"/>
  </w:style>
  <w:style w:type="paragraph" w:customStyle="1" w:styleId="ConsPlusTitle">
    <w:name w:val="ConsPlusTitle"/>
    <w:uiPriority w:val="99"/>
    <w:rsid w:val="00315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431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locked/>
    <w:rsid w:val="00D90284"/>
    <w:pPr>
      <w:tabs>
        <w:tab w:val="right" w:leader="dot" w:pos="10195"/>
      </w:tabs>
      <w:spacing w:after="100"/>
    </w:pPr>
    <w:rPr>
      <w:rFonts w:ascii="Times New Roman" w:hAnsi="Times New Roman" w:cs="Times New Roman"/>
      <w:bCs/>
      <w:i/>
      <w:noProof/>
      <w:sz w:val="26"/>
      <w:szCs w:val="26"/>
    </w:rPr>
  </w:style>
  <w:style w:type="character" w:styleId="afb">
    <w:name w:val="Hyperlink"/>
    <w:basedOn w:val="a0"/>
    <w:uiPriority w:val="99"/>
    <w:unhideWhenUsed/>
    <w:rsid w:val="00D431BB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D4536E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locked/>
    <w:rsid w:val="00D4536E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locked/>
    <w:rsid w:val="00D4536E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rsid w:val="00E717AC"/>
    <w:rPr>
      <w:rFonts w:ascii="Times New Roman" w:eastAsia="Times New Roman" w:hAnsi="Times New Roman"/>
      <w:sz w:val="24"/>
      <w:szCs w:val="24"/>
    </w:rPr>
  </w:style>
  <w:style w:type="paragraph" w:styleId="afd">
    <w:name w:val="annotation subject"/>
    <w:basedOn w:val="af7"/>
    <w:next w:val="af7"/>
    <w:link w:val="afe"/>
    <w:semiHidden/>
    <w:unhideWhenUsed/>
    <w:rsid w:val="0015117A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15117A"/>
    <w:rPr>
      <w:rFonts w:eastAsia="Times New Roman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9.3912321992615247E-2"/>
          <c:y val="9.0736339775709884E-2"/>
          <c:w val="0.61448621739184062"/>
          <c:h val="0.814503777936848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dLbl>
              <c:idx val="0"/>
              <c:layout>
                <c:manualLayout>
                  <c:x val="1.8779264306190566E-2"/>
                  <c:y val="-4.2158881118082962E-2"/>
                </c:manualLayout>
              </c:layout>
              <c:tx>
                <c:rich>
                  <a:bodyPr rot="-5400000" vert="horz"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050" b="1"/>
                      <a:t>10 798,0</a:t>
                    </a:r>
                    <a:r>
                      <a:rPr lang="en-US" sz="1050" b="1" baseline="0"/>
                      <a:t> </a:t>
                    </a:r>
                  </a:p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050" b="1"/>
                      <a:t>(32,4)%</a:t>
                    </a:r>
                    <a:endParaRPr lang="en-US" sz="1050"/>
                  </a:p>
                </c:rich>
              </c:tx>
              <c:numFmt formatCode="#,##0.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96C-48CD-AB69-FB66556F484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#,##0.0</c:formatCode>
                <c:ptCount val="1"/>
                <c:pt idx="0">
                  <c:v>10798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6C-48CD-AB69-FB66556F48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solidFill>
              <a:srgbClr val="CC00FF"/>
            </a:solidFill>
          </c:spPr>
          <c:invertIfNegative val="0"/>
          <c:dLbls>
            <c:dLbl>
              <c:idx val="0"/>
              <c:layout>
                <c:manualLayout>
                  <c:x val="2.0865582070147191E-2"/>
                  <c:y val="-3.2323232323232337E-2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13 350,2</a:t>
                    </a:r>
                  </a:p>
                  <a:p>
                    <a:r>
                      <a:rPr lang="en-US" sz="1050" b="1"/>
                      <a:t>( 39,9%)</a:t>
                    </a:r>
                    <a:endParaRPr lang="en-US" sz="105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96C-48CD-AB69-FB66556F484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#,##0.0</c:formatCode>
                <c:ptCount val="1"/>
                <c:pt idx="0">
                  <c:v>13350.2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6C-48CD-AB69-FB66556F48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Производство и распределение электроэнергии, газа и воды</c:v>
                </c:pt>
              </c:strCache>
            </c:strRef>
          </c:tx>
          <c:spPr>
            <a:solidFill>
              <a:srgbClr val="66CCFF"/>
            </a:solidFill>
          </c:spPr>
          <c:invertIfNegative val="0"/>
          <c:dLbls>
            <c:dLbl>
              <c:idx val="0"/>
              <c:layout>
                <c:manualLayout>
                  <c:x val="3.1298904538341193E-2"/>
                  <c:y val="-4.8227542985698188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9 230,0</a:t>
                    </a:r>
                  </a:p>
                  <a:p>
                    <a:r>
                      <a:rPr lang="en-US" sz="1200" b="1"/>
                      <a:t>(27,7%)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96C-48CD-AB69-FB66556F484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#,##0.0</c:formatCode>
                <c:ptCount val="1"/>
                <c:pt idx="0">
                  <c:v>9230.02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6C-48CD-AB69-FB66556F48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0386704"/>
        <c:axId val="140387096"/>
        <c:axId val="0"/>
      </c:bar3DChart>
      <c:catAx>
        <c:axId val="14038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0387096"/>
        <c:crosses val="autoZero"/>
        <c:auto val="1"/>
        <c:lblAlgn val="ctr"/>
        <c:lblOffset val="100"/>
        <c:noMultiLvlLbl val="0"/>
      </c:catAx>
      <c:valAx>
        <c:axId val="1403870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038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21700573813255"/>
          <c:y val="6.4331988989181701E-2"/>
          <c:w val="0.23526343244653236"/>
          <c:h val="0.92424826207069233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Численность работающих на малых и средних предприятиях,              включая микропредприятия (человек)</a:t>
            </a:r>
          </a:p>
        </c:rich>
      </c:tx>
      <c:layout>
        <c:manualLayout>
          <c:xMode val="edge"/>
          <c:yMode val="edge"/>
          <c:x val="0.14536627532336904"/>
          <c:y val="5.5938603529481323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95681063122924"/>
          <c:y val="0.12760416666666666"/>
          <c:w val="0.79734219269102991"/>
          <c:h val="0.598958333333333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численность работающих на малых и средних предприятиях, включая микропредприятия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8.0092459735593407E-3"/>
                  <c:y val="4.5243146829720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88510934385823E-2"/>
                  <c:y val="7.48348388226098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9943903043073233E-2"/>
                  <c:y val="1.78968621639846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576772636321205E-3"/>
                  <c:y val="-2.354538952082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971924003758175E-2"/>
                  <c:y val="7.2682990134091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189110035733801E-2"/>
                  <c:y val="-1.93907823614804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Sheet1!$B$1:$K$1</c:f>
              <c:strCache>
                <c:ptCount val="9"/>
                <c:pt idx="0">
                  <c:v>2016 год-отчет </c:v>
                </c:pt>
                <c:pt idx="1">
                  <c:v>2017 год - отчет</c:v>
                </c:pt>
                <c:pt idx="2">
                  <c:v>2018 год-оценка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9"/>
                <c:pt idx="0">
                  <c:v>3603</c:v>
                </c:pt>
                <c:pt idx="1">
                  <c:v>4887</c:v>
                </c:pt>
                <c:pt idx="2">
                  <c:v>5007</c:v>
                </c:pt>
                <c:pt idx="3">
                  <c:v>5163</c:v>
                </c:pt>
                <c:pt idx="4">
                  <c:v>5273</c:v>
                </c:pt>
                <c:pt idx="5">
                  <c:v>5508</c:v>
                </c:pt>
                <c:pt idx="6">
                  <c:v>5576</c:v>
                </c:pt>
                <c:pt idx="7">
                  <c:v>5660</c:v>
                </c:pt>
                <c:pt idx="8">
                  <c:v>5942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004480"/>
        <c:axId val="212006832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доля работающих в малом и среднем бизнесе (без учёта индивидуальных предпринимателей) в общей численности занятых в экономике</c:v>
                </c:pt>
              </c:strCache>
            </c:strRef>
          </c:tx>
          <c:spPr>
            <a:ln w="44450" cap="sq">
              <a:solidFill>
                <a:srgbClr val="0070C0"/>
              </a:solidFill>
            </a:ln>
          </c:spPr>
          <c:marker>
            <c:symbol val="circle"/>
            <c:size val="9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marker>
          <c:dLbls>
            <c:dLbl>
              <c:idx val="0"/>
              <c:layout>
                <c:manualLayout>
                  <c:x val="-1.7976569154021311E-2"/>
                  <c:y val="-3.770113268215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315377796318538E-2"/>
                  <c:y val="-4.1829123877500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9199040517286339E-2"/>
                  <c:y val="-4.9816165065697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782795362500217E-2"/>
                  <c:y val="-3.7770728299250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250872392989738E-2"/>
                  <c:y val="-3.350038207249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8727569331158302E-2"/>
                  <c:y val="-3.7130801687763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8006756756756757E-2"/>
                  <c:y val="-6.0606060606060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3783783783783786E-2"/>
                  <c:y val="-7.2727272727272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2229729729729881E-2"/>
                  <c:y val="-6.4646464646464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AD7-444A-A312-3B6DEE18C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9"/>
                <c:pt idx="0">
                  <c:v>2016 год-отчет </c:v>
                </c:pt>
                <c:pt idx="1">
                  <c:v>2017 год - отчет</c:v>
                </c:pt>
                <c:pt idx="2">
                  <c:v>2018 год-оценка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Sheet1!$B$3:$K$3</c:f>
              <c:numCache>
                <c:formatCode>0.0</c:formatCode>
                <c:ptCount val="9"/>
                <c:pt idx="0">
                  <c:v>10.57218309859155</c:v>
                </c:pt>
                <c:pt idx="1">
                  <c:v>14.424439197166469</c:v>
                </c:pt>
                <c:pt idx="2">
                  <c:v>14.216354344122658</c:v>
                </c:pt>
                <c:pt idx="3">
                  <c:v>14.527293190770962</c:v>
                </c:pt>
                <c:pt idx="4">
                  <c:v>14.737283398546674</c:v>
                </c:pt>
                <c:pt idx="5">
                  <c:v>15.223880597014926</c:v>
                </c:pt>
                <c:pt idx="6">
                  <c:v>15.28927885933644</c:v>
                </c:pt>
                <c:pt idx="7">
                  <c:v>15.413943355119827</c:v>
                </c:pt>
                <c:pt idx="8">
                  <c:v>15.98601022329836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008008"/>
        <c:axId val="212006048"/>
      </c:lineChart>
      <c:catAx>
        <c:axId val="212004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20068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20068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495016611295681E-2"/>
              <c:y val="0.367187500000001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2004480"/>
        <c:crosses val="autoZero"/>
        <c:crossBetween val="between"/>
      </c:valAx>
      <c:catAx>
        <c:axId val="2120080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2006048"/>
        <c:crossesAt val="14"/>
        <c:auto val="0"/>
        <c:lblAlgn val="ctr"/>
        <c:lblOffset val="100"/>
        <c:noMultiLvlLbl val="0"/>
      </c:catAx>
      <c:valAx>
        <c:axId val="212006048"/>
        <c:scaling>
          <c:orientation val="minMax"/>
          <c:max val="30"/>
          <c:min val="1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713845551914923"/>
              <c:y val="0.42160732479134194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2008008"/>
        <c:crosses val="max"/>
        <c:crossBetween val="between"/>
        <c:majorUnit val="5"/>
        <c:minorUnit val="4.0000000000000022E-2"/>
      </c:valAx>
    </c:plotArea>
    <c:legend>
      <c:legendPos val="r"/>
      <c:layout>
        <c:manualLayout>
          <c:xMode val="edge"/>
          <c:yMode val="edge"/>
          <c:x val="0.11112753378378376"/>
          <c:y val="0.83317558856780194"/>
          <c:w val="0.85931165540540544"/>
          <c:h val="0.1644271670071467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</a:t>
            </a:r>
            <a:r>
              <a:rPr lang="ru-RU" sz="1400" baseline="0"/>
              <a:t> о</a:t>
            </a:r>
            <a:r>
              <a:rPr lang="ru-RU" sz="1400"/>
              <a:t>бъёма инвестиций в основной капитал по базовому варианту развития</a:t>
            </a:r>
          </a:p>
        </c:rich>
      </c:tx>
      <c:layout>
        <c:manualLayout>
          <c:xMode val="edge"/>
          <c:yMode val="edge"/>
          <c:x val="0.13586240786240963"/>
          <c:y val="7.177154626788817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065960720427167"/>
          <c:y val="8.4813065033537527E-2"/>
          <c:w val="0.7677664947054037"/>
          <c:h val="0.71560979877515363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66CC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Sheet1!$C$1:$K$1</c:f>
              <c:strCache>
                <c:ptCount val="9"/>
                <c:pt idx="0">
                  <c:v>2016 год-отчет</c:v>
                </c:pt>
                <c:pt idx="1">
                  <c:v>2017 год-отчет</c:v>
                </c:pt>
                <c:pt idx="2">
                  <c:v>2018 год-оценка</c:v>
                </c:pt>
                <c:pt idx="3">
                  <c:v>2019 год - прогноз</c:v>
                </c:pt>
                <c:pt idx="4">
                  <c:v>2020 год - прогноз</c:v>
                </c:pt>
                <c:pt idx="5">
                  <c:v>2021 год - прогноз</c:v>
                </c:pt>
                <c:pt idx="6">
                  <c:v>2022 год - прогноз</c:v>
                </c:pt>
                <c:pt idx="7">
                  <c:v>2023 год - прогноз</c:v>
                </c:pt>
                <c:pt idx="8">
                  <c:v>2024 год - прогноз</c:v>
                </c:pt>
              </c:strCache>
            </c:strRef>
          </c:cat>
          <c:val>
            <c:numRef>
              <c:f>Sheet1!$C$2:$K$2</c:f>
              <c:numCache>
                <c:formatCode>#,##0.0</c:formatCode>
                <c:ptCount val="9"/>
                <c:pt idx="0">
                  <c:v>16537.46</c:v>
                </c:pt>
                <c:pt idx="1">
                  <c:v>16597.900000000001</c:v>
                </c:pt>
                <c:pt idx="2">
                  <c:v>16621.240000000002</c:v>
                </c:pt>
                <c:pt idx="3" formatCode="#,##0.00">
                  <c:v>16926.25</c:v>
                </c:pt>
                <c:pt idx="4" formatCode="#,##0.00">
                  <c:v>17057.96</c:v>
                </c:pt>
                <c:pt idx="5" formatCode="#,##0.00">
                  <c:v>17200.490000000002</c:v>
                </c:pt>
                <c:pt idx="6" formatCode="#,##0.00">
                  <c:v>17350.38</c:v>
                </c:pt>
                <c:pt idx="7" formatCode="#,##0.00">
                  <c:v>17515.82</c:v>
                </c:pt>
                <c:pt idx="8" formatCode="#,##0.00">
                  <c:v>17715.36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B5B-4B79-9E23-333309657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947576"/>
        <c:axId val="123588280"/>
      </c:barChart>
      <c:lineChart>
        <c:grouping val="standard"/>
        <c:varyColors val="0"/>
        <c:ser>
          <c:idx val="0"/>
          <c:order val="1"/>
          <c:tx>
            <c:v>Индекс физического объема</c:v>
          </c:tx>
          <c:spPr>
            <a:ln w="44450">
              <a:solidFill>
                <a:srgbClr val="66CCFF"/>
              </a:solidFill>
            </a:ln>
          </c:spPr>
          <c:marker>
            <c:spPr>
              <a:solidFill>
                <a:srgbClr val="0000CC"/>
              </a:solidFill>
            </c:spPr>
          </c:marker>
          <c:dLbls>
            <c:dLbl>
              <c:idx val="0"/>
              <c:layout>
                <c:manualLayout>
                  <c:x val="-2.488335925349925E-2"/>
                  <c:y val="-5.9259259259259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1104199066874085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32503888024879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9398652151373781E-2"/>
                  <c:y val="-3.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3545878693623509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76671850699859E-2"/>
                  <c:y val="-3.3333333333333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76671850699859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76671850699859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1840331778123382E-2"/>
                  <c:y val="-3.7037037037037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833-4D4A-A411-62B86DB294B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Sheet1!$C$1:$K$1</c:f>
              <c:strCache>
                <c:ptCount val="9"/>
                <c:pt idx="0">
                  <c:v>2016 год-отчет</c:v>
                </c:pt>
                <c:pt idx="1">
                  <c:v>2017 год-отчет</c:v>
                </c:pt>
                <c:pt idx="2">
                  <c:v>2018 год-оценка</c:v>
                </c:pt>
                <c:pt idx="3">
                  <c:v>2019 год - прогноз</c:v>
                </c:pt>
                <c:pt idx="4">
                  <c:v>2020 год - прогноз</c:v>
                </c:pt>
                <c:pt idx="5">
                  <c:v>2021 год - прогноз</c:v>
                </c:pt>
                <c:pt idx="6">
                  <c:v>2022 год - прогноз</c:v>
                </c:pt>
                <c:pt idx="7">
                  <c:v>2023 год - прогноз</c:v>
                </c:pt>
                <c:pt idx="8">
                  <c:v>2024 год - прогноз</c:v>
                </c:pt>
              </c:strCache>
            </c:strRef>
          </c:cat>
          <c:val>
            <c:numRef>
              <c:f>Sheet1!$C$3:$K$3</c:f>
              <c:numCache>
                <c:formatCode>#,##0.00</c:formatCode>
                <c:ptCount val="9"/>
                <c:pt idx="0">
                  <c:v>82.56</c:v>
                </c:pt>
                <c:pt idx="1">
                  <c:v>96.88</c:v>
                </c:pt>
                <c:pt idx="2">
                  <c:v>98.27</c:v>
                </c:pt>
                <c:pt idx="3">
                  <c:v>100.53</c:v>
                </c:pt>
                <c:pt idx="4">
                  <c:v>99.78</c:v>
                </c:pt>
                <c:pt idx="5">
                  <c:v>99.94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FB5B-4B79-9E23-333309657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540096"/>
        <c:axId val="211538136"/>
      </c:lineChart>
      <c:catAx>
        <c:axId val="1399475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23588280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23588280"/>
        <c:scaling>
          <c:orientation val="minMax"/>
          <c:max val="31500"/>
          <c:min val="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0.12958331559906391"/>
              <c:y val="0.34221712304420282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9947576"/>
        <c:crosses val="autoZero"/>
        <c:crossBetween val="between"/>
        <c:majorUnit val="2000"/>
        <c:minorUnit val="2000"/>
      </c:valAx>
      <c:catAx>
        <c:axId val="211540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1538136"/>
        <c:crosses val="autoZero"/>
        <c:auto val="0"/>
        <c:lblAlgn val="ctr"/>
        <c:lblOffset val="100"/>
        <c:noMultiLvlLbl val="0"/>
      </c:catAx>
      <c:valAx>
        <c:axId val="211538136"/>
        <c:scaling>
          <c:orientation val="minMax"/>
          <c:max val="145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8138095146"/>
              <c:y val="0.37930975421344443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900"/>
            </a:pPr>
            <a:endParaRPr lang="ru-RU"/>
          </a:p>
        </c:txPr>
        <c:crossAx val="211540096"/>
        <c:crosses val="max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5.9017345482045874E-2"/>
          <c:y val="0.93394013388775843"/>
          <c:w val="0.89018302828618967"/>
          <c:h val="5.2631578947368432E-2"/>
        </c:manualLayout>
      </c:layout>
      <c:overlay val="0"/>
      <c:spPr>
        <a:ln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solidFill>
                  <a:sysClr val="windowText" lastClr="000000"/>
                </a:solidFill>
              </a:rPr>
              <a:t>Динамика оборота розничной торговли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0"/>
                  <c:y val="-1.906627170102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24B-4705-9CD2-C0B00D3A521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trendline>
            <c:trendlineType val="movingAvg"/>
            <c:period val="2"/>
            <c:dispRSqr val="0"/>
            <c:dispEq val="0"/>
          </c:trendline>
          <c:cat>
            <c:strRef>
              <c:f>Sheet1!$B$1:$J$1</c:f>
              <c:strCache>
                <c:ptCount val="9"/>
                <c:pt idx="0">
                  <c:v>2016 год-отчет</c:v>
                </c:pt>
                <c:pt idx="1">
                  <c:v>2017 год - отчет</c:v>
                </c:pt>
                <c:pt idx="2">
                  <c:v>2018 год-оценка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Sheet1!$B$2:$J$2</c:f>
              <c:numCache>
                <c:formatCode>#,##0.0</c:formatCode>
                <c:ptCount val="9"/>
                <c:pt idx="0">
                  <c:v>10348.629999999986</c:v>
                </c:pt>
                <c:pt idx="1">
                  <c:v>12110.8</c:v>
                </c:pt>
                <c:pt idx="2">
                  <c:v>12474.1</c:v>
                </c:pt>
                <c:pt idx="3">
                  <c:v>12848.3</c:v>
                </c:pt>
                <c:pt idx="4">
                  <c:v>13285.1</c:v>
                </c:pt>
                <c:pt idx="5">
                  <c:v>13790</c:v>
                </c:pt>
                <c:pt idx="6">
                  <c:v>14410.52</c:v>
                </c:pt>
                <c:pt idx="7">
                  <c:v>15087.82</c:v>
                </c:pt>
                <c:pt idx="8">
                  <c:v>15812.03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B36-45AE-A69B-5E33232BD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11540488"/>
        <c:axId val="211544408"/>
      </c:barChart>
      <c:catAx>
        <c:axId val="211540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544408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11544408"/>
        <c:scaling>
          <c:orientation val="minMax"/>
          <c:max val="17000"/>
          <c:min val="1000"/>
        </c:scaling>
        <c:delete val="0"/>
        <c:axPos val="l"/>
        <c:majorGridlines/>
        <c:numFmt formatCode="#,##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211540488"/>
        <c:crosses val="autoZero"/>
        <c:crossBetween val="between"/>
        <c:majorUnit val="2000"/>
        <c:minorUnit val="1000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оборота общественного питания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3"/>
              <c:layout>
                <c:manualLayout>
                  <c:x val="-2.1381227282446409E-3"/>
                  <c:y val="-2.609992542878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054-414C-BEE1-6EE917F68B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2016 год-отчет</c:v>
                </c:pt>
                <c:pt idx="1">
                  <c:v>2017 год-отчет</c:v>
                </c:pt>
                <c:pt idx="2">
                  <c:v>2018 год - 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Sheet1!$B$2:$J$2</c:f>
              <c:numCache>
                <c:formatCode>#,##0.0</c:formatCode>
                <c:ptCount val="9"/>
                <c:pt idx="0">
                  <c:v>2906.8</c:v>
                </c:pt>
                <c:pt idx="1">
                  <c:v>3052.1</c:v>
                </c:pt>
                <c:pt idx="2">
                  <c:v>3180.3</c:v>
                </c:pt>
                <c:pt idx="3">
                  <c:v>3307.5</c:v>
                </c:pt>
                <c:pt idx="4">
                  <c:v>3472.9</c:v>
                </c:pt>
                <c:pt idx="5">
                  <c:v>3694.5</c:v>
                </c:pt>
                <c:pt idx="6">
                  <c:v>3916.2</c:v>
                </c:pt>
                <c:pt idx="7">
                  <c:v>4151.1000000000004</c:v>
                </c:pt>
                <c:pt idx="8">
                  <c:v>4400.2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28D-4595-AC12-19358126C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542448"/>
        <c:axId val="211540880"/>
      </c:barChart>
      <c:catAx>
        <c:axId val="21154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540880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11540880"/>
        <c:scaling>
          <c:orientation val="minMax"/>
          <c:max val="4500"/>
          <c:min val="1500"/>
        </c:scaling>
        <c:delete val="0"/>
        <c:axPos val="l"/>
        <c:majorGridlines/>
        <c:numFmt formatCode="#,##0.0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542448"/>
        <c:crosses val="autoZero"/>
        <c:crossBetween val="between"/>
        <c:majorUnit val="500"/>
        <c:minorUnit val="500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объема платных услуг населению</a:t>
            </a:r>
          </a:p>
        </c:rich>
      </c:tx>
      <c:layout>
        <c:manualLayout>
          <c:xMode val="edge"/>
          <c:yMode val="edge"/>
          <c:x val="0.25841469816272972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799"/>
          <c:y val="8.8516746411483688E-2"/>
          <c:w val="0.82514945262043005"/>
          <c:h val="0.6950241103583009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0.1502472074711594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277-42FC-A6C9-5782C98B49C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72386587771208E-3"/>
                  <c:y val="0.1985188915339073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277-42FC-A6C9-5782C98B49C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72386587771208E-3"/>
                  <c:y val="0.223161814075566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277-42FC-A6C9-5782C98B49C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6604094488188978E-3"/>
                  <c:y val="0.2761689588801399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277-42FC-A6C9-5782C98B49C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3.4516765285996054E-3"/>
                  <c:y val="0.256156992003906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277-42FC-A6C9-5782C98B49C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2016 год-отчет</c:v>
                </c:pt>
                <c:pt idx="1">
                  <c:v>2017 год-отчет</c:v>
                </c:pt>
                <c:pt idx="2">
                  <c:v>2018 год - 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Sheet1!$B$2:$J$2</c:f>
              <c:numCache>
                <c:formatCode>#,##0.0</c:formatCode>
                <c:ptCount val="9"/>
                <c:pt idx="0" formatCode="General">
                  <c:v>3414.9</c:v>
                </c:pt>
                <c:pt idx="1">
                  <c:v>3616.4</c:v>
                </c:pt>
                <c:pt idx="2">
                  <c:v>3764.7</c:v>
                </c:pt>
                <c:pt idx="3">
                  <c:v>3964.2</c:v>
                </c:pt>
                <c:pt idx="4">
                  <c:v>4178.2</c:v>
                </c:pt>
                <c:pt idx="5">
                  <c:v>4403.9000000000005</c:v>
                </c:pt>
                <c:pt idx="6">
                  <c:v>4624.1000000000004</c:v>
                </c:pt>
                <c:pt idx="7">
                  <c:v>4855.3</c:v>
                </c:pt>
                <c:pt idx="8">
                  <c:v>5098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538528"/>
        <c:axId val="21154166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spPr>
            <a:ln w="57150"/>
          </c:spPr>
          <c:dLbls>
            <c:dLbl>
              <c:idx val="0"/>
              <c:layout>
                <c:manualLayout>
                  <c:x val="-5.3676093742720032E-2"/>
                  <c:y val="-6.055026551913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8EF-4136-8085-157F5BFB05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321188401745673E-2"/>
                  <c:y val="-6.2476652627723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8EF-4136-8085-157F5BFB05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789405022597046E-3"/>
                  <c:y val="-3.3483183788073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8EF-4136-8085-157F5BFB05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378644310447327E-3"/>
                  <c:y val="-3.7785078189729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8EF-4136-8085-157F5BFB05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2532424201982547E-3"/>
                  <c:y val="-3.7921120787054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8EF-4136-8085-157F5BFB05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8007689903362398E-2"/>
                  <c:y val="-4.9820850882011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8EF-4136-8085-157F5BFB05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1558340710369837E-2"/>
                  <c:y val="-9.3023255813953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277-42FC-A6C9-5782C98B49C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4317228346456711E-2"/>
                  <c:y val="-6.4319512508488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77-42FC-A6C9-5782C98B49C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645056167979001E-2"/>
                  <c:y val="-6.5123432997448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277-42FC-A6C9-5782C98B49C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558185404339252E-2"/>
                  <c:y val="-6.9767441860465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277-42FC-A6C9-5782C98B49C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2016 год-отчет</c:v>
                </c:pt>
                <c:pt idx="1">
                  <c:v>2017 год-отчет</c:v>
                </c:pt>
                <c:pt idx="2">
                  <c:v>2018 год - 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Sheet1!$B$3:$J$3</c:f>
              <c:numCache>
                <c:formatCode>0.0</c:formatCode>
                <c:ptCount val="9"/>
                <c:pt idx="0" formatCode="General">
                  <c:v>97.6</c:v>
                </c:pt>
                <c:pt idx="1">
                  <c:v>100.9</c:v>
                </c:pt>
                <c:pt idx="2">
                  <c:v>100.1</c:v>
                </c:pt>
                <c:pt idx="3">
                  <c:v>101.3</c:v>
                </c:pt>
                <c:pt idx="4">
                  <c:v>101.3</c:v>
                </c:pt>
                <c:pt idx="5">
                  <c:v>99</c:v>
                </c:pt>
                <c:pt idx="6">
                  <c:v>101.6</c:v>
                </c:pt>
                <c:pt idx="7">
                  <c:v>101.8</c:v>
                </c:pt>
                <c:pt idx="8">
                  <c:v>101.9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544016"/>
        <c:axId val="211537744"/>
      </c:lineChart>
      <c:catAx>
        <c:axId val="2115385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541664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11541664"/>
        <c:scaling>
          <c:orientation val="minMax"/>
          <c:max val="4500"/>
          <c:min val="15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1.1647254575707163E-2"/>
              <c:y val="0.35167464114832536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538528"/>
        <c:crosses val="autoZero"/>
        <c:crossBetween val="between"/>
        <c:majorUnit val="500"/>
        <c:minorUnit val="500"/>
      </c:valAx>
      <c:catAx>
        <c:axId val="211544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1537744"/>
        <c:crosses val="autoZero"/>
        <c:auto val="0"/>
        <c:lblAlgn val="ctr"/>
        <c:lblOffset val="100"/>
        <c:noMultiLvlLbl val="0"/>
      </c:catAx>
      <c:valAx>
        <c:axId val="211537744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1414309922"/>
              <c:y val="0.42344497607655612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54401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8413953565174E-2"/>
          <c:y val="0.90997007726975365"/>
          <c:w val="0.89018302828618967"/>
          <c:h val="8.985650905312003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2743868049207129"/>
          <c:y val="3.983712652356812E-2"/>
          <c:w val="0.39215964416661658"/>
          <c:h val="0.8718104387369405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01.01.2017</c:v>
                </c:pt>
              </c:strCache>
            </c:strRef>
          </c:tx>
          <c:spPr>
            <a:solidFill>
              <a:srgbClr val="66FFFF"/>
            </a:solidFill>
          </c:spPr>
          <c:invertIfNegative val="0"/>
          <c:dLbls>
            <c:dLbl>
              <c:idx val="0"/>
              <c:layout>
                <c:manualLayout>
                  <c:x val="-0.2002404279617719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392638036809817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2781186094069533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6564417177914176"/>
                  <c:y val="3.8424591738712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46745.9</c:v>
                </c:pt>
                <c:pt idx="1">
                  <c:v>52436.3</c:v>
                </c:pt>
                <c:pt idx="2">
                  <c:v>63446.8</c:v>
                </c:pt>
                <c:pt idx="3">
                  <c:v>51404.9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0C1-4A19-B7BD-226F7872B3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01.01.2018</c:v>
                </c:pt>
              </c:strCache>
            </c:strRef>
          </c:tx>
          <c:spPr>
            <a:solidFill>
              <a:srgbClr val="CC00FF"/>
            </a:solidFill>
          </c:spPr>
          <c:invertIfNegative val="0"/>
          <c:dLbls>
            <c:dLbl>
              <c:idx val="0"/>
              <c:layout>
                <c:manualLayout>
                  <c:x val="-0.19375881068301568"/>
                  <c:y val="-3.8424027080180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7382413087934784"/>
                  <c:y val="-7.6849183477424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2269938650306754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2249488752556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0C1-4A19-B7BD-226F7872B3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61235</c:v>
                </c:pt>
                <c:pt idx="1">
                  <c:v>62891</c:v>
                </c:pt>
                <c:pt idx="2">
                  <c:v>63423</c:v>
                </c:pt>
                <c:pt idx="3">
                  <c:v>55267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0C1-4A19-B7BD-226F7872B3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537352"/>
        <c:axId val="211543232"/>
        <c:axId val="0"/>
      </c:bar3DChart>
      <c:catAx>
        <c:axId val="2115373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1543232"/>
        <c:crosses val="autoZero"/>
        <c:auto val="1"/>
        <c:lblAlgn val="ctr"/>
        <c:lblOffset val="100"/>
        <c:noMultiLvlLbl val="0"/>
      </c:catAx>
      <c:valAx>
        <c:axId val="211543232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1537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85375745607149"/>
          <c:y val="0.7344853126235934"/>
          <c:w val="0.14912464186251528"/>
          <c:h val="0.20363606946391974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Обеспеченность больничными койками и амбулаторно - поликлиническими учреждениями</a:t>
            </a:r>
          </a:p>
        </c:rich>
      </c:tx>
      <c:layout>
        <c:manualLayout>
          <c:xMode val="edge"/>
          <c:yMode val="edge"/>
          <c:x val="0.19540229885057536"/>
          <c:y val="2.020202020202021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5106732348111745"/>
          <c:y val="0.16835016835016836"/>
          <c:w val="0.8126188347762906"/>
          <c:h val="0.52861952861952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Обеспеченность амбулаторно-поликлиническими учреждениями на 10 тыс. населения, посещений в смену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3.8110300366432782E-3"/>
                  <c:y val="3.9584037429716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728224886092434E-3"/>
                  <c:y val="8.22554171446496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9724819513040726E-2"/>
                  <c:y val="7.53968556201870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1788310790345587E-2"/>
                  <c:y val="-3.07073152572417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0419946566829527E-2"/>
                  <c:y val="9.88753299980916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0693618468108271E-2"/>
                  <c:y val="2.64411927906956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2016 год - отчет</c:v>
                </c:pt>
                <c:pt idx="1">
                  <c:v>2017 год - отчет</c:v>
                </c:pt>
                <c:pt idx="2">
                  <c:v>2018 год-оценка</c:v>
                </c:pt>
                <c:pt idx="3">
                  <c:v>2019 год - прогноз</c:v>
                </c:pt>
                <c:pt idx="4">
                  <c:v>2020 год - прогноз</c:v>
                </c:pt>
                <c:pt idx="5">
                  <c:v>2021 год - прогноз</c:v>
                </c:pt>
                <c:pt idx="6">
                  <c:v>2022 год - прогноз</c:v>
                </c:pt>
                <c:pt idx="7">
                  <c:v>2023 год - прогноз</c:v>
                </c:pt>
                <c:pt idx="8">
                  <c:v>2024 год - прогноз</c:v>
                </c:pt>
              </c:strCache>
            </c:strRef>
          </c:cat>
          <c:val>
            <c:numRef>
              <c:f>Sheet1!$B$2:$J$2</c:f>
              <c:numCache>
                <c:formatCode>0.0</c:formatCode>
                <c:ptCount val="9"/>
                <c:pt idx="0">
                  <c:v>250.2</c:v>
                </c:pt>
                <c:pt idx="1">
                  <c:v>244.6</c:v>
                </c:pt>
                <c:pt idx="2">
                  <c:v>240.1</c:v>
                </c:pt>
                <c:pt idx="3">
                  <c:v>236.6</c:v>
                </c:pt>
                <c:pt idx="4">
                  <c:v>233.2</c:v>
                </c:pt>
                <c:pt idx="5">
                  <c:v>229.8</c:v>
                </c:pt>
                <c:pt idx="6">
                  <c:v>226.4</c:v>
                </c:pt>
                <c:pt idx="7">
                  <c:v>223</c:v>
                </c:pt>
                <c:pt idx="8">
                  <c:v>219.6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A53-40B4-A17E-ED5A32621A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Обеспеченность больничными койками круглосуточного пребывания на 10 тыс. населения, коек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8072213271533569E-3"/>
                  <c:y val="-6.61050544358155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8176216754641042E-3"/>
                  <c:y val="-3.7721656622234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828022023774819E-2"/>
                  <c:y val="2.25672832042438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554350122496159E-2"/>
                  <c:y val="-5.35815641915961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9966059716279122E-3"/>
                  <c:y val="-2.69592384776762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364970195143877E-3"/>
                  <c:y val="-3.57714380909242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A53-40B4-A17E-ED5A32621A4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2016 год - отчет</c:v>
                </c:pt>
                <c:pt idx="1">
                  <c:v>2017 год - отчет</c:v>
                </c:pt>
                <c:pt idx="2">
                  <c:v>2018 год-оценка</c:v>
                </c:pt>
                <c:pt idx="3">
                  <c:v>2019 год - прогноз</c:v>
                </c:pt>
                <c:pt idx="4">
                  <c:v>2020 год - прогноз</c:v>
                </c:pt>
                <c:pt idx="5">
                  <c:v>2021 год - прогноз</c:v>
                </c:pt>
                <c:pt idx="6">
                  <c:v>2022 год - прогноз</c:v>
                </c:pt>
                <c:pt idx="7">
                  <c:v>2023 год - прогноз</c:v>
                </c:pt>
                <c:pt idx="8">
                  <c:v>2024 год - прогноз</c:v>
                </c:pt>
              </c:strCache>
            </c:strRef>
          </c:cat>
          <c:val>
            <c:numRef>
              <c:f>Sheet1!$B$3:$J$3</c:f>
              <c:numCache>
                <c:formatCode>0.0</c:formatCode>
                <c:ptCount val="9"/>
                <c:pt idx="0">
                  <c:v>50</c:v>
                </c:pt>
                <c:pt idx="1">
                  <c:v>46.6</c:v>
                </c:pt>
                <c:pt idx="2">
                  <c:v>45.8</c:v>
                </c:pt>
                <c:pt idx="3">
                  <c:v>45.1</c:v>
                </c:pt>
                <c:pt idx="4">
                  <c:v>44.5</c:v>
                </c:pt>
                <c:pt idx="5">
                  <c:v>43.8</c:v>
                </c:pt>
                <c:pt idx="6">
                  <c:v>43.2</c:v>
                </c:pt>
                <c:pt idx="7">
                  <c:v>42.5</c:v>
                </c:pt>
                <c:pt idx="8">
                  <c:v>41.9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A53-40B4-A17E-ED5A32621A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1539312"/>
        <c:axId val="211539704"/>
      </c:barChart>
      <c:catAx>
        <c:axId val="21153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1539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1539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1539312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субъектов малого и среднего предпринимательства, включая микропредприятия,</a:t>
            </a:r>
            <a:r>
              <a:rPr lang="ru-RU" sz="13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единиц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434784193642786E-2"/>
          <c:y val="0.20714285714285721"/>
          <c:w val="0.90010225284339462"/>
          <c:h val="0.585419091635284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19947506561679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9"/>
                <c:pt idx="0">
                  <c:v>2016 год-отчет </c:v>
                </c:pt>
                <c:pt idx="1">
                  <c:v>2017 год-отчет</c:v>
                </c:pt>
                <c:pt idx="2">
                  <c:v>2018 год-оценка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9"/>
                <c:pt idx="0">
                  <c:v>1090</c:v>
                </c:pt>
                <c:pt idx="1">
                  <c:v>1187</c:v>
                </c:pt>
                <c:pt idx="2">
                  <c:v>1256</c:v>
                </c:pt>
                <c:pt idx="3">
                  <c:v>1326</c:v>
                </c:pt>
                <c:pt idx="4">
                  <c:v>1396</c:v>
                </c:pt>
                <c:pt idx="5">
                  <c:v>1466</c:v>
                </c:pt>
                <c:pt idx="6">
                  <c:v>1536</c:v>
                </c:pt>
                <c:pt idx="7">
                  <c:v>1606</c:v>
                </c:pt>
                <c:pt idx="8">
                  <c:v>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E4-4AC4-87FD-F145771BD6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малые и средние предприятия</c:v>
                </c:pt>
              </c:strCache>
            </c:strRef>
          </c:tx>
          <c:spPr>
            <a:solidFill>
              <a:srgbClr val="00FFFF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Лист1!$A$2:$A$11</c:f>
              <c:strCache>
                <c:ptCount val="9"/>
                <c:pt idx="0">
                  <c:v>2016 год-отчет </c:v>
                </c:pt>
                <c:pt idx="1">
                  <c:v>2017 год-отчет</c:v>
                </c:pt>
                <c:pt idx="2">
                  <c:v>2018 год-оценка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9"/>
                <c:pt idx="0">
                  <c:v>390</c:v>
                </c:pt>
                <c:pt idx="1">
                  <c:v>467</c:v>
                </c:pt>
                <c:pt idx="2">
                  <c:v>490</c:v>
                </c:pt>
                <c:pt idx="3">
                  <c:v>495</c:v>
                </c:pt>
                <c:pt idx="4">
                  <c:v>499</c:v>
                </c:pt>
                <c:pt idx="5">
                  <c:v>501</c:v>
                </c:pt>
                <c:pt idx="6">
                  <c:v>504</c:v>
                </c:pt>
                <c:pt idx="7">
                  <c:v>507</c:v>
                </c:pt>
                <c:pt idx="8">
                  <c:v>509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011144"/>
        <c:axId val="21200840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spPr>
            <a:ln w="38100" cap="rnd">
              <a:solidFill>
                <a:srgbClr val="0033CC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rgbClr val="0033CC"/>
              </a:solidFill>
              <a:ln w="9525" cap="rnd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29629629629650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296296296296523E-2"/>
                  <c:y val="-3.571428571428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296296296296523E-2"/>
                  <c:y val="-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925925925926124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296296296296488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01680672268907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106816510870744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557-4F70-8CCD-5C26A67EF4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402478731225729E-3"/>
                  <c:y val="-5.555555555555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557-4F70-8CCD-5C26A67EF4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3018590484192833E-3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557-4F70-8CCD-5C26A67EF4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0033CC"/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9"/>
                <c:pt idx="0">
                  <c:v>2016 год-отчет </c:v>
                </c:pt>
                <c:pt idx="1">
                  <c:v>2017 год-отчет</c:v>
                </c:pt>
                <c:pt idx="2">
                  <c:v>2018 год-оценка</c:v>
                </c:pt>
                <c:pt idx="3">
                  <c:v>2019 год-прогноз</c:v>
                </c:pt>
                <c:pt idx="4">
                  <c:v>2020 год-прогноз</c:v>
                </c:pt>
                <c:pt idx="5">
                  <c:v>2021 год-прогноз</c:v>
                </c:pt>
                <c:pt idx="6">
                  <c:v>2022 год-прогноз</c:v>
                </c:pt>
                <c:pt idx="7">
                  <c:v>2023 год-прогноз</c:v>
                </c:pt>
                <c:pt idx="8">
                  <c:v>2024 год-прогноз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9"/>
                <c:pt idx="0">
                  <c:v>1480</c:v>
                </c:pt>
                <c:pt idx="1">
                  <c:v>1654</c:v>
                </c:pt>
                <c:pt idx="2">
                  <c:v>1746</c:v>
                </c:pt>
                <c:pt idx="3">
                  <c:v>1821</c:v>
                </c:pt>
                <c:pt idx="4">
                  <c:v>1895</c:v>
                </c:pt>
                <c:pt idx="5">
                  <c:v>1967</c:v>
                </c:pt>
                <c:pt idx="6">
                  <c:v>2040</c:v>
                </c:pt>
                <c:pt idx="7">
                  <c:v>2113</c:v>
                </c:pt>
                <c:pt idx="8">
                  <c:v>2185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011144"/>
        <c:axId val="212008400"/>
      </c:lineChart>
      <c:catAx>
        <c:axId val="212011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008400"/>
        <c:crosses val="autoZero"/>
        <c:auto val="1"/>
        <c:lblAlgn val="ctr"/>
        <c:lblOffset val="100"/>
        <c:noMultiLvlLbl val="0"/>
      </c:catAx>
      <c:valAx>
        <c:axId val="212008400"/>
        <c:scaling>
          <c:orientation val="minMax"/>
          <c:max val="2200"/>
          <c:min val="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011144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малых и средних предприятий, включая микропредприятия по видам экономической деятельности</a:t>
            </a:r>
          </a:p>
        </c:rich>
      </c:tx>
      <c:layout>
        <c:manualLayout>
          <c:xMode val="edge"/>
          <c:yMode val="edge"/>
          <c:x val="9.3124002684963694E-2"/>
          <c:y val="2.8368794326241127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малых и средних предприятий по видам экономической деятельности в 2016 году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0000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96-47FE-B56D-2079C45BFD74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96-47FE-B56D-2079C45BFD74}"/>
              </c:ext>
            </c:extLst>
          </c:dPt>
          <c:dPt>
            <c:idx val="2"/>
            <c:bubble3D val="0"/>
            <c:spPr>
              <a:solidFill>
                <a:srgbClr val="66FF33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96-47FE-B56D-2079C45BFD74}"/>
              </c:ext>
            </c:extLst>
          </c:dPt>
          <c:dPt>
            <c:idx val="3"/>
            <c:bubble3D val="0"/>
            <c:spPr>
              <a:solidFill>
                <a:srgbClr val="FF99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F96-47FE-B56D-2079C45BFD74}"/>
              </c:ext>
            </c:extLst>
          </c:dPt>
          <c:dPt>
            <c:idx val="4"/>
            <c:bubble3D val="0"/>
            <c:spPr>
              <a:solidFill>
                <a:srgbClr val="FF00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F96-47FE-B56D-2079C45BFD74}"/>
              </c:ext>
            </c:extLst>
          </c:dPt>
          <c:dPt>
            <c:idx val="5"/>
            <c:bubble3D val="0"/>
            <c:spPr>
              <a:solidFill>
                <a:srgbClr val="33CCC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F96-47FE-B56D-2079C45BFD74}"/>
              </c:ext>
            </c:extLst>
          </c:dPt>
          <c:dLbls>
            <c:dLbl>
              <c:idx val="0"/>
              <c:layout>
                <c:manualLayout>
                  <c:x val="-6.4936714457400707E-2"/>
                  <c:y val="-5.51749781277340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F96-47FE-B56D-2079C45BFD7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(23,0%)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(40,8%)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6.2000000000000034E-2</c:v>
                </c:pt>
                <c:pt idx="1">
                  <c:v>0.23</c:v>
                </c:pt>
                <c:pt idx="2">
                  <c:v>0.13</c:v>
                </c:pt>
                <c:pt idx="3">
                  <c:v>7.0000000000000021E-2</c:v>
                </c:pt>
                <c:pt idx="4">
                  <c:v>0.1</c:v>
                </c:pt>
                <c:pt idx="5">
                  <c:v>0.40800000000000008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F96-47FE-B56D-2079C45BFD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(23,0%)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(40,8%)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</c:v>
                </c:pt>
                <c:pt idx="1">
                  <c:v>115</c:v>
                </c:pt>
                <c:pt idx="2">
                  <c:v>65</c:v>
                </c:pt>
                <c:pt idx="3">
                  <c:v>35</c:v>
                </c:pt>
                <c:pt idx="4">
                  <c:v>50</c:v>
                </c:pt>
                <c:pt idx="5">
                  <c:v>202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736-4691-A33A-82DEAE4677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(23,0%)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(40,8%)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6.2124248496993886</c:v>
                </c:pt>
                <c:pt idx="1">
                  <c:v>23.04609218436871</c:v>
                </c:pt>
                <c:pt idx="2">
                  <c:v>13.026052104208416</c:v>
                </c:pt>
                <c:pt idx="3">
                  <c:v>7.0140280561122248</c:v>
                </c:pt>
                <c:pt idx="4">
                  <c:v>10.020040080160321</c:v>
                </c:pt>
                <c:pt idx="5">
                  <c:v>40.480961923847609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736-4691-A33A-82DEAE4677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21643695763144"/>
          <c:y val="0.14769483601783842"/>
          <c:w val="0.33945890760592223"/>
          <c:h val="0.8523051639821615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0.21205</cdr:x>
      <cdr:y>0.8265</cdr:y>
    </cdr:from>
    <cdr:to>
      <cdr:x>0.5759</cdr:x>
      <cdr:y>0.92587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2242709" y="1630095"/>
          <a:ext cx="310452" cy="2214564"/>
        </a:xfrm>
        <a:prstGeom xmlns:a="http://schemas.openxmlformats.org/drawingml/2006/main" prst="leftBrace">
          <a:avLst/>
        </a:prstGeom>
        <a:ln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0.25039</cdr:x>
      <cdr:y>0.9306</cdr:y>
    </cdr:from>
    <cdr:to>
      <cdr:x>0.43662</cdr:x>
      <cdr:y>0.98423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24000" y="2809875"/>
          <a:ext cx="11334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0.3349</cdr:x>
      <cdr:y>0.92177</cdr:y>
    </cdr:from>
    <cdr:to>
      <cdr:x>0.4554</cdr:x>
      <cdr:y>1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038376" y="2879794"/>
          <a:ext cx="733420" cy="2444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33 378,2</a:t>
          </a:r>
          <a:endParaRPr lang="ru-RU" sz="11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r>
            <a:rPr lang="ru-RU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721721,29</a:t>
          </a:r>
        </a:p>
        <a:p xmlns:a="http://schemas.openxmlformats.org/drawingml/2006/main"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0.75526</cdr:x>
      <cdr:y>0.7089</cdr:y>
    </cdr:from>
    <cdr:to>
      <cdr:x>0.85311</cdr:x>
      <cdr:y>0.80409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486071" y="1971675"/>
          <a:ext cx="581229" cy="264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+31%</a:t>
          </a:r>
        </a:p>
      </cdr:txBody>
    </cdr:sp>
  </cdr:relSizeAnchor>
  <cdr:relSizeAnchor xmlns:cdr="http://schemas.openxmlformats.org/drawingml/2006/chartDrawing">
    <cdr:from>
      <cdr:x>0.76437</cdr:x>
      <cdr:y>0.49286</cdr:y>
    </cdr:from>
    <cdr:to>
      <cdr:x>0.89168</cdr:x>
      <cdr:y>0.57674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4540179" y="1370793"/>
          <a:ext cx="756195" cy="2332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+19,9%</a:t>
          </a:r>
        </a:p>
      </cdr:txBody>
    </cdr:sp>
  </cdr:relSizeAnchor>
  <cdr:relSizeAnchor xmlns:cdr="http://schemas.openxmlformats.org/drawingml/2006/chartDrawing">
    <cdr:from>
      <cdr:x>0.8113</cdr:x>
      <cdr:y>0.32814</cdr:y>
    </cdr:from>
    <cdr:to>
      <cdr:x>0.93247</cdr:x>
      <cdr:y>0.41201</cdr:y>
    </cdr:to>
    <cdr:sp macro="" textlink="">
      <cdr:nvSpPr>
        <cdr:cNvPr id="7" name="Поле 1"/>
        <cdr:cNvSpPr txBox="1"/>
      </cdr:nvSpPr>
      <cdr:spPr>
        <a:xfrm xmlns:a="http://schemas.openxmlformats.org/drawingml/2006/main">
          <a:off x="5061572" y="1122074"/>
          <a:ext cx="755965" cy="286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-0,04%</a:t>
          </a:r>
        </a:p>
      </cdr:txBody>
    </cdr:sp>
  </cdr:relSizeAnchor>
  <cdr:relSizeAnchor xmlns:cdr="http://schemas.openxmlformats.org/drawingml/2006/chartDrawing">
    <cdr:from>
      <cdr:x>0.73014</cdr:x>
      <cdr:y>0.10714</cdr:y>
    </cdr:from>
    <cdr:to>
      <cdr:x>0.8421</cdr:x>
      <cdr:y>0.19101</cdr:y>
    </cdr:to>
    <cdr:sp macro="" textlink="">
      <cdr:nvSpPr>
        <cdr:cNvPr id="8" name="Поле 1"/>
        <cdr:cNvSpPr txBox="1"/>
      </cdr:nvSpPr>
      <cdr:spPr>
        <a:xfrm xmlns:a="http://schemas.openxmlformats.org/drawingml/2006/main">
          <a:off x="4336855" y="297981"/>
          <a:ext cx="665019" cy="2332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+7,5%</a:t>
          </a:r>
        </a:p>
      </cdr:txBody>
    </cdr:sp>
  </cdr:relSizeAnchor>
  <cdr:relSizeAnchor xmlns:cdr="http://schemas.openxmlformats.org/drawingml/2006/chartDrawing">
    <cdr:from>
      <cdr:x>0.70015</cdr:x>
      <cdr:y>0.28418</cdr:y>
    </cdr:from>
    <cdr:to>
      <cdr:x>0.81613</cdr:x>
      <cdr:y>0.46974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 rot="21088706">
          <a:off x="4381500" y="971751"/>
          <a:ext cx="725806" cy="63451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4538-903D-407F-860B-66BC967C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34</Pages>
  <Words>10758</Words>
  <Characters>61323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Вера И. Кравец</dc:creator>
  <cp:lastModifiedBy>Бондарева Оксана Петровна</cp:lastModifiedBy>
  <cp:revision>59</cp:revision>
  <cp:lastPrinted>2018-09-08T11:48:00Z</cp:lastPrinted>
  <dcterms:created xsi:type="dcterms:W3CDTF">2018-09-07T06:59:00Z</dcterms:created>
  <dcterms:modified xsi:type="dcterms:W3CDTF">2018-11-14T03:09:00Z</dcterms:modified>
</cp:coreProperties>
</file>