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2A" w:rsidRPr="004D214F" w:rsidRDefault="008B6608" w:rsidP="00B7752A">
      <w:pPr>
        <w:pStyle w:val="a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="009236C3">
        <w:rPr>
          <w:b/>
          <w:sz w:val="30"/>
          <w:szCs w:val="30"/>
        </w:rPr>
        <w:t>А</w:t>
      </w:r>
      <w:r w:rsidR="00B7752A" w:rsidRPr="004D214F">
        <w:rPr>
          <w:b/>
          <w:sz w:val="30"/>
          <w:szCs w:val="30"/>
        </w:rPr>
        <w:t xml:space="preserve">МЯТКА </w:t>
      </w:r>
      <w:r w:rsidR="002E3440">
        <w:rPr>
          <w:b/>
          <w:sz w:val="30"/>
          <w:szCs w:val="30"/>
        </w:rPr>
        <w:t>№3</w:t>
      </w:r>
    </w:p>
    <w:p w:rsidR="002D3723" w:rsidRPr="00E94912" w:rsidRDefault="00AA3A6D" w:rsidP="002D3723">
      <w:pPr>
        <w:tabs>
          <w:tab w:val="left" w:pos="3941"/>
        </w:tabs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т</w:t>
      </w:r>
      <w:r w:rsidR="002D3723" w:rsidRPr="00E94912">
        <w:rPr>
          <w:b/>
          <w:sz w:val="26"/>
          <w:szCs w:val="26"/>
        </w:rPr>
        <w:t>ребования</w:t>
      </w:r>
      <w:r w:rsidR="00B7752A" w:rsidRPr="00E94912">
        <w:rPr>
          <w:b/>
          <w:sz w:val="26"/>
          <w:szCs w:val="26"/>
        </w:rPr>
        <w:t>, предъявляемые</w:t>
      </w:r>
      <w:r w:rsidR="002D3723" w:rsidRPr="00E94912">
        <w:rPr>
          <w:b/>
          <w:spacing w:val="-5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к</w:t>
      </w:r>
      <w:r w:rsidR="002D3723" w:rsidRPr="00E94912">
        <w:rPr>
          <w:b/>
          <w:spacing w:val="-5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составу</w:t>
      </w:r>
      <w:r w:rsidR="002D3723" w:rsidRPr="00E94912">
        <w:rPr>
          <w:b/>
          <w:spacing w:val="-4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документов,</w:t>
      </w:r>
      <w:r w:rsidR="002D3723" w:rsidRPr="00E94912">
        <w:rPr>
          <w:b/>
          <w:spacing w:val="-3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подтверждающих</w:t>
      </w:r>
      <w:r w:rsidR="002D3723" w:rsidRPr="00E94912">
        <w:rPr>
          <w:b/>
          <w:spacing w:val="-1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целевое</w:t>
      </w:r>
      <w:r w:rsidR="002D3723" w:rsidRPr="00E94912">
        <w:rPr>
          <w:b/>
          <w:spacing w:val="-4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использование</w:t>
      </w:r>
      <w:r w:rsidR="002D3723" w:rsidRPr="00E94912">
        <w:rPr>
          <w:b/>
          <w:spacing w:val="-4"/>
          <w:sz w:val="26"/>
          <w:szCs w:val="26"/>
        </w:rPr>
        <w:t xml:space="preserve"> </w:t>
      </w:r>
      <w:r w:rsidR="002D3723" w:rsidRPr="00E94912">
        <w:rPr>
          <w:b/>
          <w:sz w:val="26"/>
          <w:szCs w:val="26"/>
        </w:rPr>
        <w:t>гранта</w:t>
      </w:r>
    </w:p>
    <w:bookmarkEnd w:id="0"/>
    <w:p w:rsidR="00AC5E1E" w:rsidRPr="00E94912" w:rsidRDefault="00AC5E1E" w:rsidP="002D3723">
      <w:pPr>
        <w:tabs>
          <w:tab w:val="left" w:pos="3941"/>
        </w:tabs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6"/>
        <w:gridCol w:w="2658"/>
        <w:gridCol w:w="6046"/>
      </w:tblGrid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№п/п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Статья расходов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Документы, которые должны быть у получателя субсидии (</w:t>
            </w:r>
            <w:proofErr w:type="spellStart"/>
            <w:r w:rsidRPr="00E94912">
              <w:rPr>
                <w:sz w:val="26"/>
                <w:szCs w:val="26"/>
              </w:rPr>
              <w:t>грантополучателя</w:t>
            </w:r>
            <w:proofErr w:type="spellEnd"/>
            <w:r w:rsidRPr="00E94912">
              <w:rPr>
                <w:sz w:val="26"/>
                <w:szCs w:val="26"/>
              </w:rPr>
              <w:t>) и копии</w:t>
            </w:r>
            <w:r w:rsidR="00C15DEC">
              <w:rPr>
                <w:sz w:val="26"/>
                <w:szCs w:val="26"/>
              </w:rPr>
              <w:t xml:space="preserve"> на бумажном носителе,</w:t>
            </w:r>
            <w:r w:rsidRPr="00E94912">
              <w:rPr>
                <w:sz w:val="26"/>
                <w:szCs w:val="26"/>
              </w:rPr>
              <w:t xml:space="preserve"> которых он обязан оперативно представлять в ГРБС, </w:t>
            </w:r>
            <w:r w:rsidRPr="00E94912">
              <w:rPr>
                <w:rFonts w:eastAsiaTheme="minorHAnsi"/>
                <w:sz w:val="26"/>
                <w:szCs w:val="26"/>
              </w:rPr>
              <w:t>органам муниципального финансового контроля</w:t>
            </w: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1.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Оплата труда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 xml:space="preserve">В отношении </w:t>
            </w:r>
            <w:proofErr w:type="gramStart"/>
            <w:r w:rsidRPr="00E94912">
              <w:rPr>
                <w:i/>
                <w:sz w:val="26"/>
                <w:szCs w:val="26"/>
                <w:u w:val="single"/>
              </w:rPr>
              <w:t>штатных работников</w:t>
            </w:r>
            <w:proofErr w:type="gramEnd"/>
            <w:r w:rsidRPr="00E94912">
              <w:rPr>
                <w:i/>
                <w:sz w:val="26"/>
                <w:szCs w:val="26"/>
                <w:u w:val="single"/>
              </w:rPr>
              <w:t xml:space="preserve"> участвующих в реализации проекта: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трудовые договоры и, если имеются, соглашения о внесении в них изменений;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приказы о приеме работников, об их переводах, о направлении в командировки, о предоставлении отпусков;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расчетные ведомости;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табели учета рабочего времени;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расчет страховых взносов (в произвольной форме);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копии документов об образовании и (или) о квалификации или наличии специальных знаний – при выполнении работниками трудовых функций, требующих определенной подготовки или специальных знаний.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- п/п на перечисление вознаграждения с приложением </w:t>
            </w:r>
            <w:proofErr w:type="gramStart"/>
            <w:r w:rsidRPr="00E94912">
              <w:rPr>
                <w:sz w:val="26"/>
                <w:szCs w:val="26"/>
              </w:rPr>
              <w:t>реестра  (</w:t>
            </w:r>
            <w:proofErr w:type="gramEnd"/>
            <w:r w:rsidRPr="00E94912">
              <w:rPr>
                <w:sz w:val="26"/>
                <w:szCs w:val="26"/>
              </w:rPr>
              <w:t>при наличии)</w:t>
            </w:r>
          </w:p>
          <w:p w:rsidR="00AC5E1E" w:rsidRPr="00673734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физических лиц, работающих на основании договоров гражданско-правового характера: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договоры, в которых конкретизированы оказываемые услуги (выполняемые работы), а в случае, если договорами предусматривается компенсация (возмещение) расходов, связанных с исполнением договора, – указаны порядок и условия такой компенсации;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акты об оказании услуг (выполнении работ), содержащие указание на состав оказанных услуг (выполненных работ) и их стоимость;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расчет страховых взносов (в произвольной форме);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копии документов об образовании и (или) о квалификации или наличии специальных знаний – при оказании услуг (выполнении работ), требующих определенной подготовки или специальных знаний.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-факт оплаты услуг</w:t>
            </w: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2.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Командировочные </w:t>
            </w:r>
            <w:r w:rsidRPr="00E94912">
              <w:rPr>
                <w:sz w:val="26"/>
                <w:szCs w:val="26"/>
              </w:rPr>
              <w:lastRenderedPageBreak/>
              <w:t>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- приказы о направлении в командировки;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- авансовые отчеты;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- проездные документы (электронные билеты, 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посадочные талоны (при пользовании воздушным транспортом);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- счета гостиниц (с указанием фамилий проживающих, сроков проживания и категорий номеров) 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при оплате проезда и проживания работниками, кассовые чеки и (или) квитанции.</w:t>
            </w: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Офисные 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</w:rPr>
            </w:pPr>
            <w:r w:rsidRPr="00E94912">
              <w:rPr>
                <w:i/>
                <w:sz w:val="26"/>
                <w:szCs w:val="26"/>
              </w:rPr>
              <w:t>В отношении аренды помещений: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 аренды или субаренды (со всеми приложениями, указанными в таком договоре);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документ, которым оформлена передача арендуемого помещения (акт приема-передачи или иной);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копия свидетельства о государственной регистрации права на помещение или выписка из единого государственного реестра недвижимости, содержащая сведения о зарегистрированных правах на помещение;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 (если таковые предусмотрены договором аренды или субаренды).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содержания арендуемых помещений: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с ресурсоснабжающими организациями, исполнителями эксплуатационных и коммунальных услуг (если договором аренды или субаренды не предусмотрена оплата услуг по счетам, выставляемым арендодателем);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приобретения оборудования, мебели: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с поставщиками (если заключаются);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счета;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товарные накладные;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и (или) товарные чеки* (по оборудованию, мебели, приобретенным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товаров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приобретения программного обеспечения: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- лицензионные или иные договоры;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накладные или акты на предоставленные права использования программного обеспечения (лицензии, экземпляры программного обеспечения).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товаров,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услуг по ремонту оборудования, мебели: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договоры с исполнителями услуг;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 и (или) квитанции (по услугам, оплаченным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аренды оборудования: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 аренды или субаренды (со всеми приложениями, указанными в нем);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документ, которым оформлена передача арендуемого оборудования (акт приема-передачи или иной);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 и (или) квитанции (по аренде, оплаченной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счета, акты (если таковые предусмотрены договором аренды или субаренды);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услуг связи, почтовых услуг: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об оказании услуг связи;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чеки, квитанции (по почтовым отправлениям, оплаченным работниками с последующим представлением авансовых отчетов);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канцелярских товаров, расходных материалов: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договоры с поставщиками (если заключаются);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товарные накладные;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- авансовые отчеты, кассовые и (или) товарные </w:t>
            </w:r>
            <w:r w:rsidRPr="00E94912">
              <w:rPr>
                <w:sz w:val="26"/>
                <w:szCs w:val="26"/>
              </w:rPr>
              <w:lastRenderedPageBreak/>
              <w:t>чеки* (по канцелярским товарам, расходным материалам, приобретенным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услуг, связанных с использованием электронного документооборота: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акты.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товаров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  <w:u w:val="single"/>
              </w:rPr>
            </w:pPr>
            <w:r w:rsidRPr="00E94912">
              <w:rPr>
                <w:sz w:val="26"/>
                <w:szCs w:val="26"/>
                <w:u w:val="single"/>
              </w:rPr>
              <w:t>В отношении услуг банков: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Договор с банком, выписка, либо п/п на удержание комиссии по зачислению средств на счет</w:t>
            </w: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Приобретение, аренда специализированного</w:t>
            </w:r>
          </w:p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оборудования, инвентаря и сопутствующие 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 xml:space="preserve">В отношении приобретения </w:t>
            </w:r>
            <w:r w:rsidR="00160ADC">
              <w:rPr>
                <w:i/>
                <w:sz w:val="26"/>
                <w:szCs w:val="26"/>
                <w:u w:val="single"/>
              </w:rPr>
              <w:t>основных средств и материальных запасов</w:t>
            </w:r>
            <w:r w:rsidRPr="00E94912">
              <w:rPr>
                <w:i/>
                <w:sz w:val="26"/>
                <w:szCs w:val="26"/>
                <w:u w:val="single"/>
              </w:rPr>
              <w:t>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с поставщиками (если заключаются);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товарные накладные;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и (или) товарные чеки* (по имуществу, приобретенному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товаров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аренды имущества: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 аренды или субаренды (со всеми приложениями, указанными в нем);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документ, которым оформлена передача арендуемого имущества (акт приема-передачи или иной);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 и (или) квитанции (по аренде, оплаченной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счета, акты (если таковые предусмотрены договором аренды или субаренды).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услуг: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с исполнителями услуг;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 и (или) квитанции (по услугам, оплаченным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5.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Разработка и </w:t>
            </w:r>
            <w:r w:rsidRPr="00E94912">
              <w:rPr>
                <w:sz w:val="26"/>
                <w:szCs w:val="26"/>
              </w:rPr>
              <w:lastRenderedPageBreak/>
              <w:t>поддержка сайтов, информационных систем и</w:t>
            </w:r>
          </w:p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иные аналогичные 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- договоры с исполнителями услуг;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- счета, акты;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договоры с исполнителями услуг (за исключением услуг нотариуса);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При уплате государственной пошлины оформление документов помимо платежного поручения не требуется.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i/>
                <w:sz w:val="26"/>
                <w:szCs w:val="26"/>
                <w:u w:val="single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При оплате судебных расходов по судебным постановлениям (судебным актам), вступившим в законную силу (если такие расходы предусмотрены бюджетом проекта), оформление других документов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требуется только когда это следует из соответствующего судебного постановления (судебного акта).</w:t>
            </w: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7.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Расходы на проведение мероприятий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 xml:space="preserve">В отношении приобретения </w:t>
            </w:r>
            <w:r w:rsidR="00E05271">
              <w:rPr>
                <w:i/>
                <w:sz w:val="26"/>
                <w:szCs w:val="26"/>
                <w:u w:val="single"/>
              </w:rPr>
              <w:t>основных средств и материальных запасов</w:t>
            </w:r>
            <w:r w:rsidRPr="00E94912">
              <w:rPr>
                <w:i/>
                <w:sz w:val="26"/>
                <w:szCs w:val="26"/>
                <w:u w:val="single"/>
              </w:rPr>
              <w:t>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с поставщиками (если заключаются);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товарные накладные;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и (или) товарные чеки* (по имуществу, приобретенному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товаров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  <w:u w:val="single"/>
              </w:rPr>
            </w:pPr>
            <w:r w:rsidRPr="00E94912">
              <w:rPr>
                <w:sz w:val="26"/>
                <w:szCs w:val="26"/>
                <w:u w:val="single"/>
              </w:rPr>
              <w:t>В отношении аренды имущества: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  <w:u w:val="single"/>
              </w:rPr>
            </w:pPr>
            <w:r w:rsidRPr="00E94912">
              <w:rPr>
                <w:sz w:val="26"/>
                <w:szCs w:val="26"/>
                <w:u w:val="single"/>
              </w:rPr>
              <w:t>договор аренды или субаренды (со всеми приложениями, указанными в нем);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документ, которым оформлена передача арендуемого имущества (акт приема-передачи или иной);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 и (или) квитанции (по аренде, оплаченной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 (если таковые предусмотрены договором аренды или субаренды).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услуг (кроме проживания и питания):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договоры с исполнителями услуг;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авансовые отчеты, кассовые чеки и (или) квитанции (по услугам, оплаченным работниками с последующим представлением авансового отчета, за исключением услуг физических лиц);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проезда к месту проведения</w:t>
            </w: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мероприятий и обратно: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договоры;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счета, акты (если таковые предусмотрены договорами);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кассовые</w:t>
            </w:r>
            <w:r w:rsidRPr="00E94912">
              <w:rPr>
                <w:sz w:val="26"/>
                <w:szCs w:val="26"/>
              </w:rPr>
              <w:tab/>
              <w:t>чеки</w:t>
            </w:r>
            <w:r w:rsidRPr="00E94912">
              <w:rPr>
                <w:sz w:val="26"/>
                <w:szCs w:val="26"/>
              </w:rPr>
              <w:tab/>
              <w:t>(при</w:t>
            </w:r>
            <w:r w:rsidRPr="00E94912">
              <w:rPr>
                <w:sz w:val="26"/>
                <w:szCs w:val="26"/>
              </w:rPr>
              <w:tab/>
              <w:t>оплате</w:t>
            </w:r>
            <w:r w:rsidRPr="00E94912">
              <w:rPr>
                <w:sz w:val="26"/>
                <w:szCs w:val="26"/>
              </w:rPr>
              <w:tab/>
              <w:t>проезда работником с последующим представлением авансового отчета);</w:t>
            </w:r>
          </w:p>
          <w:p w:rsidR="00AC5E1E" w:rsidRPr="00E94912" w:rsidRDefault="00AA7A12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- </w:t>
            </w:r>
            <w:r w:rsidR="00AC5E1E" w:rsidRPr="00E94912">
              <w:rPr>
                <w:sz w:val="26"/>
                <w:szCs w:val="26"/>
              </w:rPr>
              <w:t xml:space="preserve">факт оплаты 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посадочные талоны (при пользовании воздушным транспортом).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i/>
                <w:sz w:val="26"/>
                <w:szCs w:val="26"/>
                <w:u w:val="single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В отношении проживания: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 и (или) акты гостиниц (с указанием фамилий проживающих, сроков проживания и категорий номеров), а также кассовые чеки и (или) квитанции (при оплате проживания работником с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последующим представлением авансового отчета).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  <w:u w:val="single"/>
              </w:rPr>
            </w:pPr>
            <w:r w:rsidRPr="00E94912">
              <w:rPr>
                <w:sz w:val="26"/>
                <w:szCs w:val="26"/>
                <w:u w:val="single"/>
              </w:rPr>
              <w:t>В отношении питания: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 и (или) счет, меню с указанием кол-ва участников мероприятия;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акт и (или) товарная накладная;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счет-фактура (если подлежит выставлению);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авансовый отчет, кассовый и (или) товарный чеки* (по проду</w:t>
            </w:r>
            <w:r w:rsidR="00AA7A12" w:rsidRPr="00E94912">
              <w:rPr>
                <w:sz w:val="26"/>
                <w:szCs w:val="26"/>
              </w:rPr>
              <w:t>ктам,</w:t>
            </w:r>
            <w:r w:rsidR="00AA7A12" w:rsidRPr="00E94912">
              <w:rPr>
                <w:sz w:val="26"/>
                <w:szCs w:val="26"/>
              </w:rPr>
              <w:tab/>
              <w:t xml:space="preserve">приобретенным работником </w:t>
            </w:r>
            <w:r w:rsidRPr="00E94912">
              <w:rPr>
                <w:sz w:val="26"/>
                <w:szCs w:val="26"/>
              </w:rPr>
              <w:t>с последующим представлением авансового отчета).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Издательские, полиграфические и сопутствующие 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договоры (если заключаются);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акты (по услугам);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товарные накладные (по изготовленной продукции);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 xml:space="preserve">- авансовые отчеты, кассовые и (или) товарные </w:t>
            </w:r>
            <w:r w:rsidRPr="00E94912">
              <w:rPr>
                <w:sz w:val="26"/>
                <w:szCs w:val="26"/>
              </w:rPr>
              <w:lastRenderedPageBreak/>
              <w:t>чеки* (по расходам, произведенным работниками с последующим представлением авансового отчета);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экземпляры изготовленной продукции;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счета-фактуры (если подлежат выставлению).</w:t>
            </w:r>
          </w:p>
          <w:p w:rsidR="00AC5E1E" w:rsidRPr="00E94912" w:rsidRDefault="00AC5E1E" w:rsidP="007613E8">
            <w:pPr>
              <w:jc w:val="both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- факт оплаты услуг</w:t>
            </w:r>
          </w:p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</w:p>
        </w:tc>
      </w:tr>
      <w:tr w:rsidR="00AC5E1E" w:rsidRPr="00E94912" w:rsidTr="00AC5E1E">
        <w:tc>
          <w:tcPr>
            <w:tcW w:w="1036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658" w:type="dxa"/>
          </w:tcPr>
          <w:p w:rsidR="00AC5E1E" w:rsidRPr="00E94912" w:rsidRDefault="00AC5E1E" w:rsidP="007613E8">
            <w:pPr>
              <w:pStyle w:val="a3"/>
              <w:spacing w:before="2"/>
              <w:rPr>
                <w:sz w:val="26"/>
                <w:szCs w:val="26"/>
              </w:rPr>
            </w:pPr>
            <w:r w:rsidRPr="00E94912">
              <w:rPr>
                <w:sz w:val="26"/>
                <w:szCs w:val="26"/>
              </w:rPr>
              <w:t>Прочие прямые расходы</w:t>
            </w:r>
          </w:p>
        </w:tc>
        <w:tc>
          <w:tcPr>
            <w:tcW w:w="6046" w:type="dxa"/>
          </w:tcPr>
          <w:p w:rsidR="00AC5E1E" w:rsidRPr="00E94912" w:rsidRDefault="00AC5E1E" w:rsidP="007613E8">
            <w:pPr>
              <w:pStyle w:val="a3"/>
              <w:spacing w:before="2"/>
              <w:jc w:val="both"/>
              <w:rPr>
                <w:sz w:val="26"/>
                <w:szCs w:val="26"/>
              </w:rPr>
            </w:pPr>
            <w:r w:rsidRPr="00E94912">
              <w:rPr>
                <w:i/>
                <w:sz w:val="26"/>
                <w:szCs w:val="26"/>
                <w:u w:val="single"/>
              </w:rPr>
              <w:t>Состав документов определяется исходя из существа расходов, в том числе с учетом положений, приведенных выше.</w:t>
            </w:r>
          </w:p>
        </w:tc>
      </w:tr>
    </w:tbl>
    <w:p w:rsidR="00AC5E1E" w:rsidRPr="00E94912" w:rsidRDefault="00AC5E1E" w:rsidP="00AC5E1E">
      <w:pPr>
        <w:pStyle w:val="a3"/>
        <w:spacing w:before="2"/>
        <w:rPr>
          <w:sz w:val="26"/>
          <w:szCs w:val="26"/>
        </w:rPr>
      </w:pPr>
    </w:p>
    <w:p w:rsidR="00AC5E1E" w:rsidRPr="00E94912" w:rsidRDefault="00AC5E1E" w:rsidP="00AC5E1E">
      <w:pPr>
        <w:spacing w:before="7"/>
        <w:ind w:left="112"/>
        <w:rPr>
          <w:b/>
          <w:i/>
          <w:sz w:val="26"/>
          <w:szCs w:val="26"/>
          <w:u w:val="single"/>
        </w:rPr>
      </w:pPr>
      <w:r w:rsidRPr="00E94912">
        <w:rPr>
          <w:b/>
          <w:i/>
          <w:sz w:val="26"/>
          <w:szCs w:val="26"/>
          <w:u w:val="single"/>
        </w:rPr>
        <w:t>*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Товарный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чек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не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требуется,</w:t>
      </w:r>
      <w:r w:rsidRPr="00E94912">
        <w:rPr>
          <w:b/>
          <w:i/>
          <w:spacing w:val="-2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если</w:t>
      </w:r>
      <w:r w:rsidRPr="00E94912">
        <w:rPr>
          <w:b/>
          <w:i/>
          <w:spacing w:val="-2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в кассовом</w:t>
      </w:r>
      <w:r w:rsidRPr="00E94912">
        <w:rPr>
          <w:b/>
          <w:i/>
          <w:spacing w:val="-1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чеке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указаны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все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товары</w:t>
      </w:r>
      <w:r w:rsidRPr="00E94912">
        <w:rPr>
          <w:b/>
          <w:i/>
          <w:spacing w:val="-2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и</w:t>
      </w:r>
      <w:r w:rsidRPr="00E94912">
        <w:rPr>
          <w:b/>
          <w:i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их</w:t>
      </w:r>
      <w:r w:rsidRPr="00E94912">
        <w:rPr>
          <w:b/>
          <w:i/>
          <w:spacing w:val="-1"/>
          <w:sz w:val="26"/>
          <w:szCs w:val="26"/>
          <w:u w:val="single"/>
        </w:rPr>
        <w:t xml:space="preserve"> </w:t>
      </w:r>
      <w:r w:rsidRPr="00E94912">
        <w:rPr>
          <w:b/>
          <w:i/>
          <w:sz w:val="26"/>
          <w:szCs w:val="26"/>
          <w:u w:val="single"/>
        </w:rPr>
        <w:t>цена.</w:t>
      </w:r>
    </w:p>
    <w:p w:rsidR="00AC5E1E" w:rsidRPr="00E94912" w:rsidRDefault="00AC5E1E" w:rsidP="00AC5E1E">
      <w:pPr>
        <w:pStyle w:val="a3"/>
        <w:spacing w:before="2"/>
        <w:rPr>
          <w:sz w:val="26"/>
          <w:szCs w:val="26"/>
        </w:rPr>
      </w:pPr>
    </w:p>
    <w:p w:rsidR="00AC5E1E" w:rsidRPr="00E94912" w:rsidRDefault="00AC5E1E" w:rsidP="002D3723">
      <w:pPr>
        <w:tabs>
          <w:tab w:val="left" w:pos="3941"/>
        </w:tabs>
        <w:jc w:val="center"/>
        <w:rPr>
          <w:b/>
          <w:sz w:val="26"/>
          <w:szCs w:val="26"/>
        </w:rPr>
      </w:pPr>
    </w:p>
    <w:sectPr w:rsidR="00AC5E1E" w:rsidRPr="00E94912" w:rsidSect="00AC5E1E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3F0"/>
    <w:multiLevelType w:val="hybridMultilevel"/>
    <w:tmpl w:val="DB42F90E"/>
    <w:lvl w:ilvl="0" w:tplc="32C2AB1E">
      <w:numFmt w:val="bullet"/>
      <w:lvlText w:val="-"/>
      <w:lvlJc w:val="left"/>
      <w:pPr>
        <w:ind w:left="139" w:hanging="12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3A4BC6C">
      <w:numFmt w:val="bullet"/>
      <w:lvlText w:val="•"/>
      <w:lvlJc w:val="left"/>
      <w:pPr>
        <w:ind w:left="223" w:hanging="120"/>
      </w:pPr>
      <w:rPr>
        <w:rFonts w:hint="default"/>
        <w:lang w:val="ru-RU" w:eastAsia="en-US" w:bidi="ar-SA"/>
      </w:rPr>
    </w:lvl>
    <w:lvl w:ilvl="2" w:tplc="FF422B78">
      <w:numFmt w:val="bullet"/>
      <w:lvlText w:val="•"/>
      <w:lvlJc w:val="left"/>
      <w:pPr>
        <w:ind w:left="307" w:hanging="120"/>
      </w:pPr>
      <w:rPr>
        <w:rFonts w:hint="default"/>
        <w:lang w:val="ru-RU" w:eastAsia="en-US" w:bidi="ar-SA"/>
      </w:rPr>
    </w:lvl>
    <w:lvl w:ilvl="3" w:tplc="F178102C">
      <w:numFmt w:val="bullet"/>
      <w:lvlText w:val="•"/>
      <w:lvlJc w:val="left"/>
      <w:pPr>
        <w:ind w:left="391" w:hanging="120"/>
      </w:pPr>
      <w:rPr>
        <w:rFonts w:hint="default"/>
        <w:lang w:val="ru-RU" w:eastAsia="en-US" w:bidi="ar-SA"/>
      </w:rPr>
    </w:lvl>
    <w:lvl w:ilvl="4" w:tplc="AFB2E402"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5" w:tplc="B5E80E2A">
      <w:numFmt w:val="bullet"/>
      <w:lvlText w:val="•"/>
      <w:lvlJc w:val="left"/>
      <w:pPr>
        <w:ind w:left="559" w:hanging="120"/>
      </w:pPr>
      <w:rPr>
        <w:rFonts w:hint="default"/>
        <w:lang w:val="ru-RU" w:eastAsia="en-US" w:bidi="ar-SA"/>
      </w:rPr>
    </w:lvl>
    <w:lvl w:ilvl="6" w:tplc="C84A70EE">
      <w:numFmt w:val="bullet"/>
      <w:lvlText w:val="•"/>
      <w:lvlJc w:val="left"/>
      <w:pPr>
        <w:ind w:left="643" w:hanging="120"/>
      </w:pPr>
      <w:rPr>
        <w:rFonts w:hint="default"/>
        <w:lang w:val="ru-RU" w:eastAsia="en-US" w:bidi="ar-SA"/>
      </w:rPr>
    </w:lvl>
    <w:lvl w:ilvl="7" w:tplc="F3988EAE">
      <w:numFmt w:val="bullet"/>
      <w:lvlText w:val="•"/>
      <w:lvlJc w:val="left"/>
      <w:pPr>
        <w:ind w:left="727" w:hanging="120"/>
      </w:pPr>
      <w:rPr>
        <w:rFonts w:hint="default"/>
        <w:lang w:val="ru-RU" w:eastAsia="en-US" w:bidi="ar-SA"/>
      </w:rPr>
    </w:lvl>
    <w:lvl w:ilvl="8" w:tplc="46C2DDE6">
      <w:numFmt w:val="bullet"/>
      <w:lvlText w:val="•"/>
      <w:lvlJc w:val="left"/>
      <w:pPr>
        <w:ind w:left="811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2F0F151E"/>
    <w:multiLevelType w:val="hybridMultilevel"/>
    <w:tmpl w:val="819EF442"/>
    <w:lvl w:ilvl="0" w:tplc="DB2001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90F76"/>
    <w:multiLevelType w:val="multilevel"/>
    <w:tmpl w:val="6B20262A"/>
    <w:lvl w:ilvl="0">
      <w:start w:val="1"/>
      <w:numFmt w:val="decimal"/>
      <w:lvlText w:val="%1."/>
      <w:lvlJc w:val="left"/>
      <w:pPr>
        <w:ind w:left="562" w:hanging="34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4"/>
        <w:szCs w:val="3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8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4F42D61"/>
    <w:multiLevelType w:val="hybridMultilevel"/>
    <w:tmpl w:val="249CFF60"/>
    <w:lvl w:ilvl="0" w:tplc="0A18B362">
      <w:start w:val="1"/>
      <w:numFmt w:val="decimal"/>
      <w:lvlText w:val="%1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0F71"/>
    <w:multiLevelType w:val="hybridMultilevel"/>
    <w:tmpl w:val="16A4F286"/>
    <w:lvl w:ilvl="0" w:tplc="B3705E6A">
      <w:numFmt w:val="bullet"/>
      <w:lvlText w:val="o"/>
      <w:lvlJc w:val="left"/>
      <w:pPr>
        <w:ind w:left="93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977293B8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2" w:tplc="7BC6ECA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B220EBA2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37EEFA66">
      <w:numFmt w:val="bullet"/>
      <w:lvlText w:val="•"/>
      <w:lvlJc w:val="left"/>
      <w:pPr>
        <w:ind w:left="4703" w:hanging="361"/>
      </w:pPr>
      <w:rPr>
        <w:rFonts w:hint="default"/>
        <w:lang w:val="ru-RU" w:eastAsia="en-US" w:bidi="ar-SA"/>
      </w:rPr>
    </w:lvl>
    <w:lvl w:ilvl="5" w:tplc="E30C05A6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287C7100"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 w:tplc="AE86C486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CDAA8770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6032D4D"/>
    <w:multiLevelType w:val="hybridMultilevel"/>
    <w:tmpl w:val="2B8CEE20"/>
    <w:lvl w:ilvl="0" w:tplc="C5084B02">
      <w:start w:val="1"/>
      <w:numFmt w:val="decimal"/>
      <w:lvlText w:val="%1."/>
      <w:lvlJc w:val="left"/>
      <w:pPr>
        <w:ind w:left="40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18B362">
      <w:start w:val="1"/>
      <w:numFmt w:val="decimal"/>
      <w:lvlText w:val="%2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F304DBA">
      <w:numFmt w:val="bullet"/>
      <w:lvlText w:val="o"/>
      <w:lvlJc w:val="left"/>
      <w:pPr>
        <w:ind w:left="1067" w:hanging="356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3" w:tplc="56BCDB7E">
      <w:numFmt w:val="bullet"/>
      <w:lvlText w:val="•"/>
      <w:lvlJc w:val="left"/>
      <w:pPr>
        <w:ind w:left="2221" w:hanging="356"/>
      </w:pPr>
      <w:rPr>
        <w:rFonts w:hint="default"/>
        <w:lang w:val="ru-RU" w:eastAsia="en-US" w:bidi="ar-SA"/>
      </w:rPr>
    </w:lvl>
    <w:lvl w:ilvl="4" w:tplc="33161E96">
      <w:numFmt w:val="bullet"/>
      <w:lvlText w:val="•"/>
      <w:lvlJc w:val="left"/>
      <w:pPr>
        <w:ind w:left="3382" w:hanging="356"/>
      </w:pPr>
      <w:rPr>
        <w:rFonts w:hint="default"/>
        <w:lang w:val="ru-RU" w:eastAsia="en-US" w:bidi="ar-SA"/>
      </w:rPr>
    </w:lvl>
    <w:lvl w:ilvl="5" w:tplc="C20A9CD8">
      <w:numFmt w:val="bullet"/>
      <w:lvlText w:val="•"/>
      <w:lvlJc w:val="left"/>
      <w:pPr>
        <w:ind w:left="4543" w:hanging="356"/>
      </w:pPr>
      <w:rPr>
        <w:rFonts w:hint="default"/>
        <w:lang w:val="ru-RU" w:eastAsia="en-US" w:bidi="ar-SA"/>
      </w:rPr>
    </w:lvl>
    <w:lvl w:ilvl="6" w:tplc="B56EE4DC">
      <w:numFmt w:val="bullet"/>
      <w:lvlText w:val="•"/>
      <w:lvlJc w:val="left"/>
      <w:pPr>
        <w:ind w:left="5704" w:hanging="356"/>
      </w:pPr>
      <w:rPr>
        <w:rFonts w:hint="default"/>
        <w:lang w:val="ru-RU" w:eastAsia="en-US" w:bidi="ar-SA"/>
      </w:rPr>
    </w:lvl>
    <w:lvl w:ilvl="7" w:tplc="4DF883E4">
      <w:numFmt w:val="bullet"/>
      <w:lvlText w:val="•"/>
      <w:lvlJc w:val="left"/>
      <w:pPr>
        <w:ind w:left="6865" w:hanging="356"/>
      </w:pPr>
      <w:rPr>
        <w:rFonts w:hint="default"/>
        <w:lang w:val="ru-RU" w:eastAsia="en-US" w:bidi="ar-SA"/>
      </w:rPr>
    </w:lvl>
    <w:lvl w:ilvl="8" w:tplc="619ABA8A">
      <w:numFmt w:val="bullet"/>
      <w:lvlText w:val="•"/>
      <w:lvlJc w:val="left"/>
      <w:pPr>
        <w:ind w:left="802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47B37235"/>
    <w:multiLevelType w:val="hybridMultilevel"/>
    <w:tmpl w:val="49CA4A24"/>
    <w:lvl w:ilvl="0" w:tplc="DDD60446">
      <w:numFmt w:val="bullet"/>
      <w:lvlText w:val="o"/>
      <w:lvlJc w:val="left"/>
      <w:pPr>
        <w:ind w:left="93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476DC96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2" w:tplc="216470B4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3020A060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EDF6B2F0">
      <w:numFmt w:val="bullet"/>
      <w:lvlText w:val="•"/>
      <w:lvlJc w:val="left"/>
      <w:pPr>
        <w:ind w:left="4703" w:hanging="361"/>
      </w:pPr>
      <w:rPr>
        <w:rFonts w:hint="default"/>
        <w:lang w:val="ru-RU" w:eastAsia="en-US" w:bidi="ar-SA"/>
      </w:rPr>
    </w:lvl>
    <w:lvl w:ilvl="5" w:tplc="11CC18EE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B1E88DBC"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 w:tplc="F3B8A2B6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9DE26FEC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99C07A7"/>
    <w:multiLevelType w:val="multilevel"/>
    <w:tmpl w:val="84760102"/>
    <w:lvl w:ilvl="0">
      <w:start w:val="2"/>
      <w:numFmt w:val="decimal"/>
      <w:lvlText w:val="%1"/>
      <w:lvlJc w:val="left"/>
      <w:pPr>
        <w:ind w:left="711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B1B658A"/>
    <w:multiLevelType w:val="hybridMultilevel"/>
    <w:tmpl w:val="90E6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1609"/>
    <w:multiLevelType w:val="hybridMultilevel"/>
    <w:tmpl w:val="3DFC7578"/>
    <w:lvl w:ilvl="0" w:tplc="596E2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97"/>
    <w:rsid w:val="00040E89"/>
    <w:rsid w:val="000A6EB3"/>
    <w:rsid w:val="000C1021"/>
    <w:rsid w:val="000C5352"/>
    <w:rsid w:val="00160ADC"/>
    <w:rsid w:val="00165567"/>
    <w:rsid w:val="001C50CC"/>
    <w:rsid w:val="001D0063"/>
    <w:rsid w:val="002013CB"/>
    <w:rsid w:val="00203B71"/>
    <w:rsid w:val="00205ADE"/>
    <w:rsid w:val="00210834"/>
    <w:rsid w:val="002274A5"/>
    <w:rsid w:val="002332B8"/>
    <w:rsid w:val="002355BA"/>
    <w:rsid w:val="002436DF"/>
    <w:rsid w:val="0025261B"/>
    <w:rsid w:val="00263A0E"/>
    <w:rsid w:val="002811F3"/>
    <w:rsid w:val="002A7EA3"/>
    <w:rsid w:val="002B2013"/>
    <w:rsid w:val="002B2DAC"/>
    <w:rsid w:val="002D06C4"/>
    <w:rsid w:val="002D34E6"/>
    <w:rsid w:val="002D3723"/>
    <w:rsid w:val="002E3440"/>
    <w:rsid w:val="003236EE"/>
    <w:rsid w:val="003379DC"/>
    <w:rsid w:val="003545B0"/>
    <w:rsid w:val="00374E5F"/>
    <w:rsid w:val="00392F16"/>
    <w:rsid w:val="003A6CC9"/>
    <w:rsid w:val="003B0085"/>
    <w:rsid w:val="003C775F"/>
    <w:rsid w:val="003C7C8A"/>
    <w:rsid w:val="003D6891"/>
    <w:rsid w:val="00466C42"/>
    <w:rsid w:val="004D214F"/>
    <w:rsid w:val="004D7EA4"/>
    <w:rsid w:val="004E4561"/>
    <w:rsid w:val="00511C4A"/>
    <w:rsid w:val="00554898"/>
    <w:rsid w:val="00585C0C"/>
    <w:rsid w:val="00587F30"/>
    <w:rsid w:val="005930BC"/>
    <w:rsid w:val="005978A8"/>
    <w:rsid w:val="005C0228"/>
    <w:rsid w:val="005F5326"/>
    <w:rsid w:val="00611188"/>
    <w:rsid w:val="006326FD"/>
    <w:rsid w:val="00637976"/>
    <w:rsid w:val="006577B1"/>
    <w:rsid w:val="006724AA"/>
    <w:rsid w:val="00673734"/>
    <w:rsid w:val="006C198B"/>
    <w:rsid w:val="0070307A"/>
    <w:rsid w:val="0073758F"/>
    <w:rsid w:val="007613E8"/>
    <w:rsid w:val="0076232A"/>
    <w:rsid w:val="00762509"/>
    <w:rsid w:val="007942FA"/>
    <w:rsid w:val="007A6944"/>
    <w:rsid w:val="008B4C1A"/>
    <w:rsid w:val="008B6608"/>
    <w:rsid w:val="008C2363"/>
    <w:rsid w:val="008E676F"/>
    <w:rsid w:val="009236C3"/>
    <w:rsid w:val="00934D87"/>
    <w:rsid w:val="009532EC"/>
    <w:rsid w:val="00961A66"/>
    <w:rsid w:val="0099334B"/>
    <w:rsid w:val="009B38AB"/>
    <w:rsid w:val="009C2812"/>
    <w:rsid w:val="009C43FA"/>
    <w:rsid w:val="00A20F37"/>
    <w:rsid w:val="00A230BA"/>
    <w:rsid w:val="00A3200D"/>
    <w:rsid w:val="00A76253"/>
    <w:rsid w:val="00AA3A6D"/>
    <w:rsid w:val="00AA7A12"/>
    <w:rsid w:val="00AB1598"/>
    <w:rsid w:val="00AC59A5"/>
    <w:rsid w:val="00AC5E1E"/>
    <w:rsid w:val="00AD43CC"/>
    <w:rsid w:val="00AF0F48"/>
    <w:rsid w:val="00B00B36"/>
    <w:rsid w:val="00B2473C"/>
    <w:rsid w:val="00B54597"/>
    <w:rsid w:val="00B6067A"/>
    <w:rsid w:val="00B7752A"/>
    <w:rsid w:val="00B843B2"/>
    <w:rsid w:val="00BD0B69"/>
    <w:rsid w:val="00C0734E"/>
    <w:rsid w:val="00C15DEC"/>
    <w:rsid w:val="00C5308F"/>
    <w:rsid w:val="00C628F1"/>
    <w:rsid w:val="00C865C7"/>
    <w:rsid w:val="00C9202C"/>
    <w:rsid w:val="00CA024D"/>
    <w:rsid w:val="00CB5786"/>
    <w:rsid w:val="00CC651C"/>
    <w:rsid w:val="00CE0552"/>
    <w:rsid w:val="00CF43A8"/>
    <w:rsid w:val="00D27B88"/>
    <w:rsid w:val="00D33A5C"/>
    <w:rsid w:val="00D5202D"/>
    <w:rsid w:val="00D525A2"/>
    <w:rsid w:val="00DC181F"/>
    <w:rsid w:val="00E05271"/>
    <w:rsid w:val="00E14899"/>
    <w:rsid w:val="00E232E4"/>
    <w:rsid w:val="00E91EFF"/>
    <w:rsid w:val="00E94912"/>
    <w:rsid w:val="00EA2484"/>
    <w:rsid w:val="00EA5B86"/>
    <w:rsid w:val="00EB6AED"/>
    <w:rsid w:val="00EC1FD7"/>
    <w:rsid w:val="00F02F76"/>
    <w:rsid w:val="00F11698"/>
    <w:rsid w:val="00FA602B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7CCB"/>
  <w15:docId w15:val="{25CE2A8C-5C86-4A87-BCC4-3125F1B4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 w:hanging="346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2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404" w:hanging="28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585" w:right="713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067" w:hanging="35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39"/>
    <w:rsid w:val="002D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3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44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Кленина Ирина</dc:creator>
  <cp:lastModifiedBy>Сидорова Ирина Павловна</cp:lastModifiedBy>
  <cp:revision>3</cp:revision>
  <cp:lastPrinted>2023-04-12T11:21:00Z</cp:lastPrinted>
  <dcterms:created xsi:type="dcterms:W3CDTF">2023-05-17T11:55:00Z</dcterms:created>
  <dcterms:modified xsi:type="dcterms:W3CDTF">2023-05-17T11:55:00Z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