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D5AD1BC" w:rsidR="00517A3D" w:rsidRPr="007243A6" w:rsidRDefault="005E5D7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дополнений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35E688F" w:rsidR="00517A3D" w:rsidRPr="00994A25" w:rsidRDefault="00D3220F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94A25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994A2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Pr="00994A25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Pr="00994A25">
        <w:rPr>
          <w:rFonts w:ascii="Times New Roman" w:eastAsia="Times New Roman" w:hAnsi="Times New Roman" w:cs="Times New Roman"/>
          <w:sz w:val="26"/>
          <w:szCs w:val="26"/>
        </w:rPr>
        <w:t>504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578A469A" w:rsidR="00884687" w:rsidRPr="000A6361" w:rsidRDefault="006D1052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54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7 Правил подготовки органами государственного контроля (надзора) и органами муниципального </w:t>
      </w:r>
      <w:proofErr w:type="gramStart"/>
      <w:r w:rsidR="00931E51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08D03CCF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3220F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D3220F" w:rsidRPr="00D3220F">
        <w:rPr>
          <w:rFonts w:ascii="Times New Roman" w:hAnsi="Times New Roman" w:cs="Times New Roman"/>
          <w:sz w:val="26"/>
          <w:szCs w:val="26"/>
        </w:rPr>
        <w:t>25</w:t>
      </w:r>
      <w:r w:rsidR="00D3220F">
        <w:rPr>
          <w:rFonts w:ascii="Times New Roman" w:hAnsi="Times New Roman" w:cs="Times New Roman"/>
          <w:sz w:val="26"/>
          <w:szCs w:val="26"/>
        </w:rPr>
        <w:t>.0</w:t>
      </w:r>
      <w:r w:rsidR="00D3220F" w:rsidRPr="00D3220F">
        <w:rPr>
          <w:rFonts w:ascii="Times New Roman" w:hAnsi="Times New Roman" w:cs="Times New Roman"/>
          <w:sz w:val="26"/>
          <w:szCs w:val="26"/>
        </w:rPr>
        <w:t>6</w:t>
      </w:r>
      <w:r w:rsidR="00D3220F">
        <w:rPr>
          <w:rFonts w:ascii="Times New Roman" w:hAnsi="Times New Roman" w:cs="Times New Roman"/>
          <w:sz w:val="26"/>
          <w:szCs w:val="26"/>
        </w:rPr>
        <w:t>.201</w:t>
      </w:r>
      <w:r w:rsidR="00D3220F" w:rsidRPr="00D3220F">
        <w:rPr>
          <w:rFonts w:ascii="Times New Roman" w:hAnsi="Times New Roman" w:cs="Times New Roman"/>
          <w:sz w:val="26"/>
          <w:szCs w:val="26"/>
        </w:rPr>
        <w:t>4</w:t>
      </w:r>
      <w:r w:rsidR="00D3220F">
        <w:rPr>
          <w:rFonts w:ascii="Times New Roman" w:hAnsi="Times New Roman" w:cs="Times New Roman"/>
          <w:sz w:val="26"/>
          <w:szCs w:val="26"/>
        </w:rPr>
        <w:t xml:space="preserve"> №1</w:t>
      </w:r>
      <w:r w:rsidR="00D3220F" w:rsidRPr="00D3220F">
        <w:rPr>
          <w:rFonts w:ascii="Times New Roman" w:hAnsi="Times New Roman" w:cs="Times New Roman"/>
          <w:sz w:val="26"/>
          <w:szCs w:val="26"/>
        </w:rPr>
        <w:t>504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осуществления муниципального </w:t>
      </w:r>
      <w:proofErr w:type="gramStart"/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D3220F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D3220F">
        <w:rPr>
          <w:rFonts w:ascii="Times New Roman" w:hAnsi="Times New Roman" w:cs="Times New Roman"/>
          <w:bCs/>
          <w:sz w:val="26"/>
          <w:szCs w:val="26"/>
        </w:rPr>
        <w:t xml:space="preserve"> обеспечением сохранности автомобильных дорог местного значения 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>в границах города Когалыма»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5E5D7B" w:rsidRPr="005E5D7B">
        <w:rPr>
          <w:rFonts w:ascii="Times New Roman" w:eastAsia="Times New Roman" w:hAnsi="Times New Roman" w:cs="Times New Roman"/>
          <w:sz w:val="26"/>
          <w:szCs w:val="26"/>
        </w:rPr>
        <w:t>следующие дополнения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5204868D" w:rsidR="00812611" w:rsidRPr="00C1104F" w:rsidRDefault="00D96680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19.8.1. пункта 19</w:t>
      </w:r>
      <w:r w:rsidR="009C067A">
        <w:rPr>
          <w:rFonts w:ascii="Times New Roman" w:hAnsi="Times New Roman" w:cs="Times New Roman"/>
          <w:sz w:val="26"/>
          <w:szCs w:val="26"/>
        </w:rPr>
        <w:t>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C067A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994A2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94A25" w:rsidRPr="00994A25">
        <w:rPr>
          <w:rFonts w:ascii="Times New Roman" w:hAnsi="Times New Roman" w:cs="Times New Roman"/>
          <w:sz w:val="26"/>
          <w:szCs w:val="26"/>
        </w:rPr>
        <w:t xml:space="preserve">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994A25">
        <w:rPr>
          <w:rFonts w:ascii="Times New Roman" w:hAnsi="Times New Roman" w:cs="Times New Roman"/>
          <w:sz w:val="26"/>
          <w:szCs w:val="26"/>
        </w:rPr>
        <w:t>девятым,</w:t>
      </w:r>
      <w:r>
        <w:rPr>
          <w:rFonts w:ascii="Times New Roman" w:hAnsi="Times New Roman" w:cs="Times New Roman"/>
          <w:sz w:val="26"/>
          <w:szCs w:val="26"/>
        </w:rPr>
        <w:t xml:space="preserve"> десятым </w:t>
      </w:r>
      <w:r w:rsidR="00994A25">
        <w:rPr>
          <w:rFonts w:ascii="Times New Roman" w:hAnsi="Times New Roman" w:cs="Times New Roman"/>
          <w:sz w:val="26"/>
          <w:szCs w:val="26"/>
        </w:rPr>
        <w:t xml:space="preserve">и одиннадцатым </w:t>
      </w:r>
      <w:r w:rsidR="005E5D7B">
        <w:rPr>
          <w:rFonts w:ascii="Times New Roman" w:hAnsi="Times New Roman" w:cs="Times New Roman"/>
          <w:sz w:val="26"/>
          <w:szCs w:val="26"/>
        </w:rPr>
        <w:t>абзацами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1B52919D" w14:textId="48669D37" w:rsidR="00D82AB9" w:rsidRPr="00994A25" w:rsidRDefault="00D96680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="00994A25">
          <w:rPr>
            <w:rFonts w:ascii="Times New Roman" w:hAnsi="Times New Roman" w:cs="Times New Roman"/>
            <w:sz w:val="26"/>
            <w:szCs w:val="26"/>
          </w:rPr>
          <w:t>частью 1</w:t>
        </w:r>
        <w:r w:rsidR="00D82AB9" w:rsidRPr="00D82AB9">
          <w:rPr>
            <w:rFonts w:ascii="Times New Roman" w:hAnsi="Times New Roman" w:cs="Times New Roman"/>
            <w:sz w:val="26"/>
            <w:szCs w:val="26"/>
          </w:rPr>
          <w:t xml:space="preserve">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15D7B3B2" w14:textId="624258BF" w:rsidR="00994A25" w:rsidRPr="00994A25" w:rsidRDefault="00994A25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4A25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частью </w:t>
      </w:r>
      <w:r w:rsidRPr="00994A25">
        <w:rPr>
          <w:rFonts w:ascii="Times New Roman" w:hAnsi="Times New Roman" w:cs="Times New Roman"/>
          <w:sz w:val="26"/>
          <w:szCs w:val="26"/>
          <w:lang w:val="en-US"/>
        </w:rPr>
        <w:t xml:space="preserve">1.1 </w:t>
      </w:r>
      <w:proofErr w:type="spellStart"/>
      <w:r w:rsidRPr="00994A25">
        <w:rPr>
          <w:rFonts w:ascii="Times New Roman" w:hAnsi="Times New Roman" w:cs="Times New Roman"/>
          <w:sz w:val="26"/>
          <w:szCs w:val="26"/>
          <w:lang w:val="en-US"/>
        </w:rPr>
        <w:t>статьи</w:t>
      </w:r>
      <w:proofErr w:type="spellEnd"/>
      <w:r w:rsidRPr="00994A25">
        <w:rPr>
          <w:rFonts w:ascii="Times New Roman" w:hAnsi="Times New Roman" w:cs="Times New Roman"/>
          <w:sz w:val="26"/>
          <w:szCs w:val="26"/>
          <w:lang w:val="en-US"/>
        </w:rPr>
        <w:t xml:space="preserve"> 26.2 </w:t>
      </w:r>
      <w:proofErr w:type="spellStart"/>
      <w:r w:rsidRPr="00994A25">
        <w:rPr>
          <w:rFonts w:ascii="Times New Roman" w:hAnsi="Times New Roman" w:cs="Times New Roman"/>
          <w:sz w:val="26"/>
          <w:szCs w:val="26"/>
          <w:lang w:val="en-US"/>
        </w:rPr>
        <w:t>Закона</w:t>
      </w:r>
      <w:proofErr w:type="spellEnd"/>
      <w:r w:rsidRPr="00994A25">
        <w:rPr>
          <w:rFonts w:ascii="Times New Roman" w:hAnsi="Times New Roman" w:cs="Times New Roman"/>
          <w:sz w:val="26"/>
          <w:szCs w:val="26"/>
          <w:lang w:val="en-US"/>
        </w:rPr>
        <w:t xml:space="preserve"> №294-ФЗ;</w:t>
      </w:r>
    </w:p>
    <w:p w14:paraId="72AEDCC3" w14:textId="6E404FA8" w:rsid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>- в связи с принятием</w:t>
      </w:r>
      <w:r w:rsidR="005E5D7B">
        <w:rPr>
          <w:rFonts w:ascii="Times New Roman" w:hAnsi="Times New Roman" w:cs="Times New Roman"/>
          <w:sz w:val="26"/>
          <w:szCs w:val="26"/>
        </w:rPr>
        <w:t xml:space="preserve"> ОМК </w:t>
      </w:r>
      <w:r w:rsidRPr="00D82AB9">
        <w:rPr>
          <w:rFonts w:ascii="Times New Roman" w:hAnsi="Times New Roman" w:cs="Times New Roman"/>
          <w:sz w:val="26"/>
          <w:szCs w:val="26"/>
        </w:rPr>
        <w:t xml:space="preserve">в период с 18 марта до 5 апреля 2020 г. на основании поручения Правительства Российской Федерации, поручения высшего должностного лица субъекта Российской </w:t>
      </w:r>
      <w:r>
        <w:rPr>
          <w:rFonts w:ascii="Times New Roman" w:hAnsi="Times New Roman" w:cs="Times New Roman"/>
          <w:sz w:val="26"/>
          <w:szCs w:val="26"/>
        </w:rPr>
        <w:t>Федерации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</w:t>
      </w:r>
      <w:r w:rsidR="005E5D7B">
        <w:rPr>
          <w:rFonts w:ascii="Times New Roman" w:hAnsi="Times New Roman" w:cs="Times New Roman"/>
          <w:sz w:val="26"/>
          <w:szCs w:val="26"/>
        </w:rPr>
        <w:t xml:space="preserve"> назначенной плановой проверки</w:t>
      </w:r>
      <w:proofErr w:type="gramStart"/>
      <w:r w:rsidR="005E5D7B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6A52B33" w14:textId="77777777" w:rsidR="00994A25" w:rsidRPr="00994A25" w:rsidRDefault="00994A25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2ACBF08B" w:rsidR="009A0DF6" w:rsidRPr="00E3737B" w:rsidRDefault="00D96680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МЖИ</w:t>
            </w:r>
            <w:r w:rsidR="009A0DF6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Шадрин Д.В.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83FB452" w14:textId="2F892515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605D10" w14:textId="0BF42AE8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2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805D" w14:textId="77777777" w:rsidR="00020D73" w:rsidRDefault="00020D73" w:rsidP="0051454D">
      <w:pPr>
        <w:spacing w:after="0" w:line="240" w:lineRule="auto"/>
      </w:pPr>
      <w:r>
        <w:separator/>
      </w:r>
    </w:p>
  </w:endnote>
  <w:endnote w:type="continuationSeparator" w:id="0">
    <w:p w14:paraId="5B400622" w14:textId="77777777" w:rsidR="00020D73" w:rsidRDefault="00020D73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EE463C0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994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46CB6" w14:textId="77777777" w:rsidR="00020D73" w:rsidRDefault="00020D73" w:rsidP="0051454D">
      <w:pPr>
        <w:spacing w:after="0" w:line="240" w:lineRule="auto"/>
      </w:pPr>
      <w:r>
        <w:separator/>
      </w:r>
    </w:p>
  </w:footnote>
  <w:footnote w:type="continuationSeparator" w:id="0">
    <w:p w14:paraId="0D8BCB77" w14:textId="77777777" w:rsidR="00020D73" w:rsidRDefault="00020D73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0D73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94A25"/>
    <w:rsid w:val="009A0741"/>
    <w:rsid w:val="009A0DF6"/>
    <w:rsid w:val="009C067A"/>
    <w:rsid w:val="009C2A17"/>
    <w:rsid w:val="009F5FA6"/>
    <w:rsid w:val="00A330A7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54C5"/>
    <w:rsid w:val="00C86757"/>
    <w:rsid w:val="00C914AE"/>
    <w:rsid w:val="00C9551B"/>
    <w:rsid w:val="00CA668C"/>
    <w:rsid w:val="00D028A0"/>
    <w:rsid w:val="00D3220F"/>
    <w:rsid w:val="00D40B52"/>
    <w:rsid w:val="00D82AB9"/>
    <w:rsid w:val="00D92FD9"/>
    <w:rsid w:val="00D96680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0A3B"/>
    <w:rsid w:val="00E75FA0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59A8-11B2-484B-B4BC-70A53D3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Шадрин Дмитрий Владимирович</cp:lastModifiedBy>
  <cp:revision>33</cp:revision>
  <cp:lastPrinted>2020-05-13T07:06:00Z</cp:lastPrinted>
  <dcterms:created xsi:type="dcterms:W3CDTF">2020-03-04T03:41:00Z</dcterms:created>
  <dcterms:modified xsi:type="dcterms:W3CDTF">2020-05-13T07:06:00Z</dcterms:modified>
</cp:coreProperties>
</file>