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theme/themeOverride2.xml" ContentType="application/vnd.openxmlformats-officedocument.themeOverride+xml"/>
  <Override PartName="/word/charts/chart11.xml" ContentType="application/vnd.openxmlformats-officedocument.drawingml.chart+xml"/>
  <Override PartName="/word/theme/themeOverride3.xml" ContentType="application/vnd.openxmlformats-officedocument.themeOverride+xml"/>
  <Override PartName="/word/charts/chart12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BE" w:rsidRPr="00467CBF" w:rsidRDefault="00AA01BE" w:rsidP="00AA01BE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467CBF">
        <w:rPr>
          <w:rFonts w:ascii="Times New Roman" w:hAnsi="Times New Roman" w:cs="Times New Roman"/>
          <w:i/>
          <w:sz w:val="24"/>
          <w:szCs w:val="24"/>
        </w:rPr>
        <w:t>Управление экономики Администрации города Когалыма</w:t>
      </w:r>
      <w:r w:rsidRPr="00467CB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</w:t>
      </w:r>
    </w:p>
    <w:p w:rsidR="00AA01BE" w:rsidRPr="00467CBF" w:rsidRDefault="00AA01BE" w:rsidP="00AA01BE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67CB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Муниципальное образование город Когалым  </w:t>
      </w:r>
    </w:p>
    <w:p w:rsidR="00AA01BE" w:rsidRPr="00467CBF" w:rsidRDefault="00AA01BE" w:rsidP="00AA01BE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67CBF">
        <w:rPr>
          <w:rFonts w:ascii="Times New Roman" w:hAnsi="Times New Roman" w:cs="Times New Roman"/>
          <w:b/>
          <w:bCs/>
          <w:i/>
          <w:sz w:val="28"/>
          <w:szCs w:val="28"/>
        </w:rPr>
        <w:t>Ханты – Мансийский автономный округ – Югра</w:t>
      </w:r>
    </w:p>
    <w:p w:rsidR="00AA01BE" w:rsidRPr="00467CBF" w:rsidRDefault="00AA01BE" w:rsidP="00AA01BE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A01BE" w:rsidRPr="00467CBF" w:rsidRDefault="00AA01BE" w:rsidP="00AA01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467CBF" w:rsidRDefault="00AA01BE" w:rsidP="00AA01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467CBF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467CBF" w:rsidRDefault="009613A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67CBF">
        <w:rPr>
          <w:rFonts w:ascii="Times New Roman" w:hAnsi="Times New Roman" w:cs="Times New Roman"/>
          <w:b/>
          <w:i/>
          <w:sz w:val="32"/>
          <w:szCs w:val="32"/>
        </w:rPr>
        <w:t>ПРОГНОЗ</w:t>
      </w:r>
    </w:p>
    <w:p w:rsidR="00AA01BE" w:rsidRPr="00467CBF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67CBF">
        <w:rPr>
          <w:rFonts w:ascii="Times New Roman" w:hAnsi="Times New Roman" w:cs="Times New Roman"/>
          <w:b/>
          <w:i/>
          <w:sz w:val="32"/>
          <w:szCs w:val="32"/>
        </w:rPr>
        <w:t xml:space="preserve">СОЦИАЛЬНО-ЭКОНОМИЧЕСКОГО РАЗВИТИЯ </w:t>
      </w:r>
    </w:p>
    <w:p w:rsidR="00C6470D" w:rsidRPr="00467CBF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67CBF">
        <w:rPr>
          <w:rFonts w:ascii="Times New Roman" w:hAnsi="Times New Roman" w:cs="Times New Roman"/>
          <w:b/>
          <w:i/>
          <w:sz w:val="32"/>
          <w:szCs w:val="32"/>
        </w:rPr>
        <w:t>ГОРОДА КОГАЛЫМА НА 201</w:t>
      </w:r>
      <w:r w:rsidR="00435005" w:rsidRPr="00467CBF">
        <w:rPr>
          <w:rFonts w:ascii="Times New Roman" w:hAnsi="Times New Roman" w:cs="Times New Roman"/>
          <w:b/>
          <w:i/>
          <w:sz w:val="32"/>
          <w:szCs w:val="32"/>
        </w:rPr>
        <w:t>8</w:t>
      </w:r>
      <w:r w:rsidRPr="00467CBF">
        <w:rPr>
          <w:rFonts w:ascii="Times New Roman" w:hAnsi="Times New Roman" w:cs="Times New Roman"/>
          <w:b/>
          <w:i/>
          <w:sz w:val="32"/>
          <w:szCs w:val="32"/>
        </w:rPr>
        <w:t xml:space="preserve"> ГОД </w:t>
      </w:r>
    </w:p>
    <w:p w:rsidR="00AA01BE" w:rsidRPr="00467CBF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67CBF">
        <w:rPr>
          <w:rFonts w:ascii="Times New Roman" w:hAnsi="Times New Roman" w:cs="Times New Roman"/>
          <w:b/>
          <w:i/>
          <w:sz w:val="32"/>
          <w:szCs w:val="32"/>
        </w:rPr>
        <w:t>И НА ПЛАНОВЫЙ ПЕРИОД 201</w:t>
      </w:r>
      <w:r w:rsidR="00435005" w:rsidRPr="00467CBF">
        <w:rPr>
          <w:rFonts w:ascii="Times New Roman" w:hAnsi="Times New Roman" w:cs="Times New Roman"/>
          <w:b/>
          <w:i/>
          <w:sz w:val="32"/>
          <w:szCs w:val="32"/>
        </w:rPr>
        <w:t>9</w:t>
      </w:r>
      <w:r w:rsidR="00C6470D" w:rsidRPr="00467CBF">
        <w:rPr>
          <w:rFonts w:ascii="Times New Roman" w:hAnsi="Times New Roman" w:cs="Times New Roman"/>
          <w:b/>
          <w:i/>
          <w:sz w:val="32"/>
          <w:szCs w:val="32"/>
        </w:rPr>
        <w:t xml:space="preserve">- </w:t>
      </w:r>
      <w:r w:rsidRPr="00467CBF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="00435005" w:rsidRPr="00467CBF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Pr="00467CBF">
        <w:rPr>
          <w:rFonts w:ascii="Times New Roman" w:hAnsi="Times New Roman" w:cs="Times New Roman"/>
          <w:b/>
          <w:i/>
          <w:sz w:val="32"/>
          <w:szCs w:val="32"/>
        </w:rPr>
        <w:t xml:space="preserve"> ГОДОВ</w:t>
      </w:r>
    </w:p>
    <w:p w:rsidR="00AA01BE" w:rsidRPr="00467CBF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467CBF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467CBF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467CBF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467CBF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467CBF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467CBF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467CBF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467CBF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467CBF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467CBF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467CBF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467CBF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0B5144" w:rsidRPr="00467CBF" w:rsidRDefault="00AA01BE" w:rsidP="00AA01BE">
      <w:pPr>
        <w:pStyle w:val="a7"/>
        <w:widowControl w:val="0"/>
        <w:suppressAutoHyphens/>
        <w:jc w:val="center"/>
      </w:pPr>
      <w:r w:rsidRPr="00467CBF">
        <w:t>Когалым – 201</w:t>
      </w:r>
      <w:r w:rsidR="00435005" w:rsidRPr="00467CBF">
        <w:t>7</w:t>
      </w:r>
    </w:p>
    <w:p w:rsidR="000B5144" w:rsidRPr="00467CBF" w:rsidRDefault="000B5144" w:rsidP="000B5144">
      <w:pPr>
        <w:rPr>
          <w:rFonts w:ascii="Times New Roman" w:hAnsi="Times New Roman" w:cs="Times New Roman"/>
        </w:rPr>
      </w:pPr>
      <w:r w:rsidRPr="00467CBF">
        <w:rPr>
          <w:rFonts w:ascii="Times New Roman" w:hAnsi="Times New Roman" w:cs="Times New Roman"/>
        </w:rPr>
        <w:br w:type="page"/>
      </w:r>
    </w:p>
    <w:p w:rsidR="00E40A2C" w:rsidRPr="00467CBF" w:rsidRDefault="00E40A2C" w:rsidP="00E40A2C">
      <w:pPr>
        <w:pStyle w:val="a7"/>
        <w:widowControl w:val="0"/>
        <w:suppressAutoHyphens/>
        <w:spacing w:after="0"/>
        <w:ind w:left="0"/>
        <w:jc w:val="center"/>
        <w:rPr>
          <w:sz w:val="26"/>
          <w:szCs w:val="26"/>
        </w:rPr>
      </w:pPr>
      <w:r w:rsidRPr="00467CBF">
        <w:rPr>
          <w:sz w:val="26"/>
          <w:szCs w:val="26"/>
        </w:rPr>
        <w:lastRenderedPageBreak/>
        <w:t>Содержание</w:t>
      </w:r>
    </w:p>
    <w:p w:rsidR="00435005" w:rsidRPr="00467CBF" w:rsidRDefault="00435005" w:rsidP="00E40A2C">
      <w:pPr>
        <w:pStyle w:val="a7"/>
        <w:widowControl w:val="0"/>
        <w:suppressAutoHyphens/>
        <w:spacing w:after="0"/>
        <w:ind w:left="0"/>
        <w:jc w:val="center"/>
        <w:rPr>
          <w:sz w:val="26"/>
          <w:szCs w:val="26"/>
        </w:rPr>
      </w:pPr>
    </w:p>
    <w:sdt>
      <w:sdtPr>
        <w:rPr>
          <w:rFonts w:ascii="Times New Roman" w:hAnsi="Times New Roman" w:cs="Times New Roman"/>
          <w:color w:val="auto"/>
          <w:lang w:eastAsia="en-US"/>
        </w:rPr>
        <w:id w:val="-1192531771"/>
        <w:docPartObj>
          <w:docPartGallery w:val="Table of Contents"/>
          <w:docPartUnique/>
        </w:docPartObj>
      </w:sdtPr>
      <w:sdtEndPr>
        <w:rPr>
          <w:b/>
          <w:bCs/>
          <w:sz w:val="26"/>
          <w:szCs w:val="26"/>
        </w:rPr>
      </w:sdtEndPr>
      <w:sdtContent>
        <w:p w:rsidR="00D4536E" w:rsidRPr="00467CBF" w:rsidRDefault="00D4536E" w:rsidP="000B5144">
          <w:pPr>
            <w:pStyle w:val="afc"/>
            <w:spacing w:before="0" w:line="240" w:lineRule="auto"/>
            <w:jc w:val="both"/>
            <w:rPr>
              <w:rFonts w:ascii="Times New Roman" w:hAnsi="Times New Roman" w:cs="Times New Roman"/>
              <w:color w:val="auto"/>
              <w:sz w:val="26"/>
              <w:szCs w:val="26"/>
            </w:rPr>
          </w:pPr>
        </w:p>
        <w:p w:rsidR="00F870D1" w:rsidRDefault="0051294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r w:rsidRPr="00467CBF">
            <w:fldChar w:fldCharType="begin"/>
          </w:r>
          <w:r w:rsidR="00D4536E" w:rsidRPr="00467CBF">
            <w:instrText xml:space="preserve"> TOC \o "1-3" \h \z \u </w:instrText>
          </w:r>
          <w:r w:rsidRPr="00467CBF">
            <w:fldChar w:fldCharType="separate"/>
          </w:r>
          <w:hyperlink w:anchor="_Toc498075890" w:history="1">
            <w:r w:rsidR="00F870D1" w:rsidRPr="00945F38">
              <w:rPr>
                <w:rStyle w:val="afb"/>
                <w:rFonts w:eastAsia="Calibri"/>
                <w:b/>
                <w:lang w:eastAsia="ru-RU"/>
              </w:rPr>
              <w:t>Общая оценка социально-экономической ситуации в городе Когалыме</w:t>
            </w:r>
            <w:r w:rsidR="00F870D1">
              <w:rPr>
                <w:webHidden/>
              </w:rPr>
              <w:tab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1" w:history="1">
            <w:r w:rsidR="00F870D1" w:rsidRPr="00945F38">
              <w:rPr>
                <w:rStyle w:val="afb"/>
                <w:rFonts w:eastAsia="Calibri"/>
                <w:b/>
                <w:lang w:eastAsia="ru-RU"/>
              </w:rPr>
              <w:t>за 2016 год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_Toc498075891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2" w:history="1">
            <w:r w:rsidR="00F870D1" w:rsidRPr="00945F38">
              <w:rPr>
                <w:rStyle w:val="afb"/>
                <w:b/>
              </w:rPr>
              <w:t>1. ПРОМЫШЛЕННОЕ ПРОИЗВОДСТВО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_Toc498075892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3" w:history="1">
            <w:r w:rsidR="00F870D1" w:rsidRPr="00945F38">
              <w:rPr>
                <w:rStyle w:val="afb"/>
                <w:b/>
              </w:rPr>
              <w:t>2. ИНВЕСТИЦИИ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_Toc498075893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4" w:history="1">
            <w:r w:rsidR="00F870D1" w:rsidRPr="00945F38">
              <w:rPr>
                <w:rStyle w:val="afb"/>
                <w:b/>
              </w:rPr>
              <w:t>3. СТРОИТЕЛЬСТВО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_Toc498075894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5" w:history="1">
            <w:r w:rsidR="00F870D1" w:rsidRPr="00945F38">
              <w:rPr>
                <w:rStyle w:val="afb"/>
                <w:b/>
              </w:rPr>
              <w:t>4. ПОТРЕБИТЕЛЬСКИЙ РЫНОК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_Toc498075895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6" w:history="1">
            <w:r w:rsidR="00F870D1" w:rsidRPr="00945F38">
              <w:rPr>
                <w:rStyle w:val="afb"/>
                <w:b/>
              </w:rPr>
              <w:t>4.1. Розничная торговля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_Toc498075896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7" w:history="1">
            <w:r w:rsidR="00F870D1" w:rsidRPr="00945F38">
              <w:rPr>
                <w:rStyle w:val="afb"/>
                <w:b/>
              </w:rPr>
              <w:t>4.2. Платные услуги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_Toc498075897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8" w:history="1">
            <w:r w:rsidR="00F870D1" w:rsidRPr="00945F38">
              <w:rPr>
                <w:rStyle w:val="afb"/>
                <w:b/>
              </w:rPr>
              <w:t>4.3. Агропромышленный комплекс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_Toc498075898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899" w:history="1">
            <w:r w:rsidR="00F870D1" w:rsidRPr="00945F38">
              <w:rPr>
                <w:rStyle w:val="afb"/>
                <w:b/>
              </w:rPr>
              <w:t>5. УРОВЕНЬ ЖИЗНИ НАСЕЛЕНИЯ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_Toc498075899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0" w:history="1">
            <w:r w:rsidR="00F870D1" w:rsidRPr="00945F38">
              <w:rPr>
                <w:rStyle w:val="afb"/>
                <w:b/>
              </w:rPr>
              <w:t>6. ТРУД И ЗАНЯТОСТЬ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_Toc498075900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1" w:history="1">
            <w:r w:rsidR="00F870D1" w:rsidRPr="00945F38">
              <w:rPr>
                <w:rStyle w:val="afb"/>
                <w:b/>
              </w:rPr>
              <w:t>7. ДЕМОГРАФИЯ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_Toc498075901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2" w:history="1">
            <w:r w:rsidR="00F870D1" w:rsidRPr="00945F38">
              <w:rPr>
                <w:rStyle w:val="afb"/>
                <w:b/>
              </w:rPr>
              <w:t>8. РАЗВИТИЕ ОТРАСЛЕЙ СОЦИАЛЬНОЙ СФЕРЫ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_Toc498075902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3" w:history="1">
            <w:r w:rsidR="00F870D1" w:rsidRPr="00945F38">
              <w:rPr>
                <w:rStyle w:val="afb"/>
              </w:rPr>
              <w:t>Образование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_Toc498075903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4" w:history="1">
            <w:r w:rsidR="00F870D1" w:rsidRPr="00945F38">
              <w:rPr>
                <w:rStyle w:val="afb"/>
              </w:rPr>
              <w:t>Здравоохранение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_Toc498075904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5" w:history="1">
            <w:r w:rsidR="00F870D1" w:rsidRPr="00945F38">
              <w:rPr>
                <w:rStyle w:val="afb"/>
              </w:rPr>
              <w:t>Культура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_Toc498075905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6" w:history="1">
            <w:r w:rsidR="00F870D1" w:rsidRPr="00945F38">
              <w:rPr>
                <w:rStyle w:val="afb"/>
              </w:rPr>
              <w:t>Физическая культура и спорт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_Toc498075906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7" w:history="1">
            <w:r w:rsidR="00F870D1" w:rsidRPr="00945F38">
              <w:rPr>
                <w:rStyle w:val="afb"/>
                <w:b/>
              </w:rPr>
              <w:t>9. МАЛОЕ И СРЕДНЕЕ ПРЕДПРИНИМАТЕЛЬСТВО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_Toc498075907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 w:rsidR="00512947">
              <w:rPr>
                <w:webHidden/>
              </w:rPr>
              <w:fldChar w:fldCharType="end"/>
            </w:r>
          </w:hyperlink>
        </w:p>
        <w:p w:rsidR="00F870D1" w:rsidRDefault="00D8129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498075908" w:history="1">
            <w:r w:rsidR="00F870D1" w:rsidRPr="00945F38">
              <w:rPr>
                <w:rStyle w:val="afb"/>
                <w:b/>
              </w:rPr>
              <w:t>10. БЮДЖЕТ ГОРОДА КОГАЛЫМА</w:t>
            </w:r>
            <w:r w:rsidR="00F870D1">
              <w:rPr>
                <w:webHidden/>
              </w:rPr>
              <w:tab/>
            </w:r>
            <w:r w:rsidR="00512947">
              <w:rPr>
                <w:webHidden/>
              </w:rPr>
              <w:fldChar w:fldCharType="begin"/>
            </w:r>
            <w:r w:rsidR="00F870D1">
              <w:rPr>
                <w:webHidden/>
              </w:rPr>
              <w:instrText xml:space="preserve"> PAGEREF _Toc498075908 \h </w:instrText>
            </w:r>
            <w:r w:rsidR="00512947">
              <w:rPr>
                <w:webHidden/>
              </w:rPr>
            </w:r>
            <w:r w:rsidR="00512947"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 w:rsidR="00512947">
              <w:rPr>
                <w:webHidden/>
              </w:rPr>
              <w:fldChar w:fldCharType="end"/>
            </w:r>
          </w:hyperlink>
        </w:p>
        <w:p w:rsidR="00B564FE" w:rsidRPr="00467CBF" w:rsidRDefault="00512947" w:rsidP="00616305">
          <w:pPr>
            <w:pStyle w:val="1"/>
            <w:spacing w:before="0" w:line="240" w:lineRule="auto"/>
            <w:jc w:val="both"/>
            <w:rPr>
              <w:rFonts w:ascii="Times New Roman" w:hAnsi="Times New Roman" w:cs="Times New Roman"/>
              <w:color w:val="auto"/>
              <w:sz w:val="26"/>
              <w:szCs w:val="26"/>
            </w:rPr>
            <w:sectPr w:rsidR="00B564FE" w:rsidRPr="00467CBF" w:rsidSect="00857012">
              <w:footerReference w:type="default" r:id="rId9"/>
              <w:pgSz w:w="11906" w:h="16838"/>
              <w:pgMar w:top="1134" w:right="1134" w:bottom="1134" w:left="567" w:header="709" w:footer="709" w:gutter="0"/>
              <w:pgNumType w:start="1"/>
              <w:cols w:space="708"/>
              <w:titlePg/>
              <w:docGrid w:linePitch="360"/>
            </w:sectPr>
          </w:pPr>
          <w:r w:rsidRPr="00467CBF">
            <w:rPr>
              <w:rFonts w:ascii="Times New Roman" w:hAnsi="Times New Roman" w:cs="Times New Roman"/>
              <w:bCs/>
              <w:color w:val="auto"/>
              <w:sz w:val="26"/>
              <w:szCs w:val="26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990F27" w:rsidRPr="00467CBF" w:rsidRDefault="00990F27" w:rsidP="00D431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7CBF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ПОЯСНИТЕЛЬНАЯ ЗАПИСКА</w:t>
      </w:r>
    </w:p>
    <w:p w:rsidR="00990F27" w:rsidRPr="00467CBF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7CBF">
        <w:rPr>
          <w:rFonts w:ascii="Times New Roman" w:hAnsi="Times New Roman" w:cs="Times New Roman"/>
          <w:b/>
          <w:bCs/>
          <w:sz w:val="26"/>
          <w:szCs w:val="26"/>
        </w:rPr>
        <w:t>к прогнозу социально-экономического развития</w:t>
      </w:r>
    </w:p>
    <w:p w:rsidR="00990F27" w:rsidRPr="00467CBF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7CBF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город Когалым на 201</w:t>
      </w:r>
      <w:r w:rsidR="00435005" w:rsidRPr="00467CBF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467CBF">
        <w:rPr>
          <w:rFonts w:ascii="Times New Roman" w:hAnsi="Times New Roman" w:cs="Times New Roman"/>
          <w:b/>
          <w:bCs/>
          <w:sz w:val="26"/>
          <w:szCs w:val="26"/>
        </w:rPr>
        <w:t xml:space="preserve"> год </w:t>
      </w:r>
    </w:p>
    <w:p w:rsidR="00990F27" w:rsidRPr="00467CBF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7CBF">
        <w:rPr>
          <w:rFonts w:ascii="Times New Roman" w:hAnsi="Times New Roman" w:cs="Times New Roman"/>
          <w:b/>
          <w:bCs/>
          <w:sz w:val="26"/>
          <w:szCs w:val="26"/>
        </w:rPr>
        <w:t>и на плановый период 201</w:t>
      </w:r>
      <w:r w:rsidR="00435005" w:rsidRPr="00467CBF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67CBF">
        <w:rPr>
          <w:rFonts w:ascii="Times New Roman" w:hAnsi="Times New Roman" w:cs="Times New Roman"/>
          <w:b/>
          <w:bCs/>
          <w:sz w:val="26"/>
          <w:szCs w:val="26"/>
        </w:rPr>
        <w:t xml:space="preserve"> и 20</w:t>
      </w:r>
      <w:r w:rsidR="00435005" w:rsidRPr="00467CBF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467CBF">
        <w:rPr>
          <w:rFonts w:ascii="Times New Roman" w:hAnsi="Times New Roman" w:cs="Times New Roman"/>
          <w:b/>
          <w:bCs/>
          <w:sz w:val="26"/>
          <w:szCs w:val="26"/>
        </w:rPr>
        <w:t xml:space="preserve"> годов</w:t>
      </w:r>
    </w:p>
    <w:p w:rsidR="00990F27" w:rsidRPr="00467CBF" w:rsidRDefault="00990F27" w:rsidP="00990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0C9C" w:rsidRPr="00467CBF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Прогноз социально-экономического развития города Когалыма на 201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на плановый период 201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20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 (далее – прогноз) разработан на основе сценарных условий социально-экономического </w:t>
      </w:r>
      <w:r w:rsidR="004F03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развития Российской Федерации,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целе</w:t>
      </w:r>
      <w:r w:rsidR="00512947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fldChar w:fldCharType="begin"/>
      </w:r>
      <w:r w:rsidR="00D431BB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instrText xml:space="preserve"> TOC \o "1-1" \h \z \u </w:instrText>
      </w:r>
      <w:r w:rsidR="00512947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fldChar w:fldCharType="end"/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вых индикаторов социально-экономического развития, сформулированных в указах Президента Российской Федерации от 7 мая 2012 года</w:t>
      </w:r>
      <w:r w:rsidR="00525884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приоритетов, обозначенных в Стратегии социально-экономического развития Ханты-Мансийского автономного округа </w:t>
      </w:r>
      <w:r w:rsidR="00525884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Югры</w:t>
      </w:r>
      <w:r w:rsidR="00525884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Стратегии социально-экономического развития городского округа города Когалыма до 2020 года и на период д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о 2030 года, а также нормативных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Правительства Российской Федерации и Ханты-Мансийского автономного округа - Югры.</w:t>
      </w:r>
    </w:p>
    <w:p w:rsidR="00690C9C" w:rsidRPr="00467CBF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Основные показатели прогноза социально-экономического развития города Когалыма на 201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="00525884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на плановый период 201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20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 сформированы на основе анализа экономической ситуации за 201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год, предварительной оценки развития экономики города Когалыма в 201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году, показателей, представленных предприятиями и организациями, осуществляющих свою деятельность в городе Когалыме, с учетом сложившихся тенденций.</w:t>
      </w:r>
    </w:p>
    <w:p w:rsidR="00690C9C" w:rsidRPr="00467CBF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Разработка прогноза осуществлялась по 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трем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вариантам:</w:t>
      </w:r>
    </w:p>
    <w:p w:rsidR="00435005" w:rsidRPr="00467CBF" w:rsidRDefault="00690C9C" w:rsidP="00690C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консервативный </w:t>
      </w:r>
      <w:r w:rsidR="006110C9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110C9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заложены предпосылки </w:t>
      </w:r>
      <w:r w:rsidR="00026A04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замедления</w:t>
      </w:r>
      <w:r w:rsidR="006633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экономического роста;</w:t>
      </w:r>
    </w:p>
    <w:p w:rsidR="00690C9C" w:rsidRPr="00467CBF" w:rsidRDefault="00435005" w:rsidP="00690C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D45AD7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базовый</w:t>
      </w:r>
      <w:r w:rsidR="00690C9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предполагает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</w:t>
      </w:r>
      <w:r w:rsidR="006633B6">
        <w:rPr>
          <w:rFonts w:ascii="Times New Roman" w:eastAsia="Calibri" w:hAnsi="Times New Roman" w:cs="Times New Roman"/>
          <w:sz w:val="26"/>
          <w:szCs w:val="26"/>
          <w:lang w:eastAsia="ru-RU"/>
        </w:rPr>
        <w:t>гнации государственного спроса;</w:t>
      </w:r>
    </w:p>
    <w:p w:rsidR="00690C9C" w:rsidRPr="00467CBF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D45AD7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целевой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предполагает более высокие темпы социально-экономического развития экономики города Когалыма в условиях реализации активной муниципальной политики, направленной на стимулирование экономического роста, на улучшение инвестиционного климата, конкурентоспособности и эффективности бизнеса.</w:t>
      </w:r>
    </w:p>
    <w:p w:rsidR="00690C9C" w:rsidRPr="00467CBF" w:rsidRDefault="00232820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Для разработки параметров бюджета города Когалыма на 201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="00DF65F1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плановый период 201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="00DF65F1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20</w:t>
      </w:r>
      <w:r w:rsidR="0043500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DF65F1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90C9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предлагается рассматривать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исходным базовый вариант основных показателей прогноза социально-экономического развития города Когалыма.</w:t>
      </w:r>
    </w:p>
    <w:p w:rsidR="00990F27" w:rsidRDefault="00990F2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53694" w:rsidRPr="00467CBF" w:rsidRDefault="00B536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5536F" w:rsidRPr="00467CBF" w:rsidRDefault="000614A1" w:rsidP="0065536F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</w:pPr>
      <w:bookmarkStart w:id="1" w:name="_Toc498075890"/>
      <w:r w:rsidRPr="00467CBF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Общая оценка социально-экономической ситуации в городе Когалыме</w:t>
      </w:r>
      <w:bookmarkEnd w:id="1"/>
      <w:r w:rsidRPr="00467CBF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 xml:space="preserve"> </w:t>
      </w:r>
    </w:p>
    <w:p w:rsidR="00F05A30" w:rsidRPr="00467CBF" w:rsidRDefault="000614A1" w:rsidP="0065536F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</w:pPr>
      <w:bookmarkStart w:id="2" w:name="_Toc498075891"/>
      <w:r w:rsidRPr="00467CBF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за 201</w:t>
      </w:r>
      <w:r w:rsidR="00FB1DD8" w:rsidRPr="00467CBF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6</w:t>
      </w:r>
      <w:r w:rsidRPr="00467CBF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 xml:space="preserve"> год</w:t>
      </w:r>
      <w:bookmarkEnd w:id="2"/>
    </w:p>
    <w:p w:rsidR="00F05A30" w:rsidRPr="00467CBF" w:rsidRDefault="00F05A30" w:rsidP="004352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146900" w:rsidRPr="00467CBF" w:rsidRDefault="00146900" w:rsidP="001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течение отчетного периода Администрацией города Когалыма обеспечена реализация ключевых направлений бюджетной и налоговой политики, содействие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социальному и экономическому развитию, обеспечение устойчивости бюджетной системы города, повышение уровня и качества жизни населения города Когалыма.</w:t>
      </w:r>
    </w:p>
    <w:p w:rsidR="00146900" w:rsidRPr="00467CBF" w:rsidRDefault="00146900" w:rsidP="001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Среднегодовая численность населения города Когалыма в 201</w:t>
      </w:r>
      <w:r w:rsidR="00231341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</w:t>
      </w:r>
      <w:r w:rsidR="00231341" w:rsidRPr="00467CBF">
        <w:rPr>
          <w:rFonts w:ascii="Times New Roman" w:hAnsi="Times New Roman" w:cs="Times New Roman"/>
          <w:sz w:val="26"/>
          <w:szCs w:val="26"/>
        </w:rPr>
        <w:t>у</w:t>
      </w:r>
      <w:r w:rsidRPr="00467CBF">
        <w:rPr>
          <w:rFonts w:ascii="Times New Roman" w:hAnsi="Times New Roman" w:cs="Times New Roman"/>
          <w:sz w:val="26"/>
          <w:szCs w:val="26"/>
        </w:rPr>
        <w:t xml:space="preserve"> увеличилась по сравнению с 201</w:t>
      </w:r>
      <w:r w:rsidR="0049786F" w:rsidRPr="00467CBF">
        <w:rPr>
          <w:rFonts w:ascii="Times New Roman" w:hAnsi="Times New Roman" w:cs="Times New Roman"/>
          <w:sz w:val="26"/>
          <w:szCs w:val="26"/>
        </w:rPr>
        <w:t>5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49786F" w:rsidRPr="00467CBF">
        <w:rPr>
          <w:rFonts w:ascii="Times New Roman" w:hAnsi="Times New Roman" w:cs="Times New Roman"/>
          <w:sz w:val="26"/>
          <w:szCs w:val="26"/>
        </w:rPr>
        <w:t>2</w:t>
      </w:r>
      <w:r w:rsidRPr="00467CBF">
        <w:rPr>
          <w:rFonts w:ascii="Times New Roman" w:hAnsi="Times New Roman" w:cs="Times New Roman"/>
          <w:sz w:val="26"/>
          <w:szCs w:val="26"/>
        </w:rPr>
        <w:t xml:space="preserve">% и составила </w:t>
      </w:r>
      <w:r w:rsidR="0049786F" w:rsidRPr="00467CBF">
        <w:rPr>
          <w:rFonts w:ascii="Times New Roman" w:hAnsi="Times New Roman" w:cs="Times New Roman"/>
          <w:sz w:val="26"/>
          <w:szCs w:val="26"/>
        </w:rPr>
        <w:t>64,1</w:t>
      </w:r>
      <w:r w:rsidR="004F0309">
        <w:rPr>
          <w:rFonts w:ascii="Times New Roman" w:hAnsi="Times New Roman" w:cs="Times New Roman"/>
          <w:sz w:val="26"/>
          <w:szCs w:val="26"/>
        </w:rPr>
        <w:t>6</w:t>
      </w:r>
      <w:r w:rsidR="0049786F" w:rsidRPr="00467CBF">
        <w:rPr>
          <w:rFonts w:ascii="Times New Roman" w:hAnsi="Times New Roman" w:cs="Times New Roman"/>
          <w:sz w:val="26"/>
          <w:szCs w:val="26"/>
        </w:rPr>
        <w:t xml:space="preserve"> </w:t>
      </w:r>
      <w:r w:rsidRPr="00467CBF">
        <w:rPr>
          <w:rFonts w:ascii="Times New Roman" w:hAnsi="Times New Roman" w:cs="Times New Roman"/>
          <w:sz w:val="26"/>
          <w:szCs w:val="26"/>
        </w:rPr>
        <w:t>тыс. человек.</w:t>
      </w:r>
    </w:p>
    <w:p w:rsidR="00146900" w:rsidRPr="00467CBF" w:rsidRDefault="00146900" w:rsidP="001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Показателем развития любого общества является уровень жизни людей.</w:t>
      </w:r>
    </w:p>
    <w:p w:rsidR="00146900" w:rsidRPr="00467CBF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Денежные</w:t>
      </w:r>
      <w:r w:rsidR="00FF49E4" w:rsidRPr="00467CBF">
        <w:rPr>
          <w:rFonts w:ascii="Times New Roman" w:hAnsi="Times New Roman" w:cs="Times New Roman"/>
          <w:sz w:val="26"/>
          <w:szCs w:val="26"/>
        </w:rPr>
        <w:t xml:space="preserve"> доходы на душу населения в 201</w:t>
      </w:r>
      <w:r w:rsidR="0049786F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составили </w:t>
      </w:r>
      <w:r w:rsidR="0049786F" w:rsidRPr="00467CBF">
        <w:rPr>
          <w:rFonts w:ascii="Times New Roman" w:hAnsi="Times New Roman" w:cs="Times New Roman"/>
          <w:sz w:val="26"/>
          <w:szCs w:val="26"/>
        </w:rPr>
        <w:t>42 011,5</w:t>
      </w:r>
      <w:r w:rsidRPr="00467CBF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="0049786F" w:rsidRPr="00467CBF">
        <w:rPr>
          <w:rFonts w:ascii="Times New Roman" w:hAnsi="Times New Roman" w:cs="Times New Roman"/>
          <w:sz w:val="26"/>
          <w:szCs w:val="26"/>
        </w:rPr>
        <w:t>увеличившись</w:t>
      </w:r>
      <w:r w:rsidRPr="00467CBF">
        <w:rPr>
          <w:rFonts w:ascii="Times New Roman" w:hAnsi="Times New Roman" w:cs="Times New Roman"/>
          <w:sz w:val="26"/>
          <w:szCs w:val="26"/>
        </w:rPr>
        <w:t xml:space="preserve"> на </w:t>
      </w:r>
      <w:r w:rsidR="0049786F" w:rsidRPr="00467CBF">
        <w:rPr>
          <w:rFonts w:ascii="Times New Roman" w:hAnsi="Times New Roman" w:cs="Times New Roman"/>
          <w:sz w:val="26"/>
          <w:szCs w:val="26"/>
        </w:rPr>
        <w:t>4,3</w:t>
      </w:r>
      <w:r w:rsidRPr="00467CBF">
        <w:rPr>
          <w:rFonts w:ascii="Times New Roman" w:hAnsi="Times New Roman" w:cs="Times New Roman"/>
          <w:sz w:val="26"/>
          <w:szCs w:val="26"/>
        </w:rPr>
        <w:t>% к соответствующему периоду прошлого года.</w:t>
      </w:r>
    </w:p>
    <w:p w:rsidR="00146900" w:rsidRPr="00467CBF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Реальные располагаемые денежные доходы в расчёте на душу населения (скорректированные на уровень инфляции) составили </w:t>
      </w:r>
      <w:r w:rsidR="0049786F" w:rsidRPr="00467CBF">
        <w:rPr>
          <w:rFonts w:ascii="Times New Roman" w:hAnsi="Times New Roman" w:cs="Times New Roman"/>
          <w:sz w:val="26"/>
          <w:szCs w:val="26"/>
        </w:rPr>
        <w:t>98,3</w:t>
      </w:r>
      <w:r w:rsidRPr="00467CBF">
        <w:rPr>
          <w:rFonts w:ascii="Times New Roman" w:hAnsi="Times New Roman" w:cs="Times New Roman"/>
          <w:sz w:val="26"/>
          <w:szCs w:val="26"/>
        </w:rPr>
        <w:t>%.</w:t>
      </w:r>
    </w:p>
    <w:p w:rsidR="00146900" w:rsidRPr="00467CBF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Достигнутый уровень денежных доходов населения позволяет обеспечивать </w:t>
      </w:r>
      <w:r w:rsidR="00816BA2" w:rsidRPr="00467CBF">
        <w:rPr>
          <w:rFonts w:ascii="Times New Roman" w:hAnsi="Times New Roman" w:cs="Times New Roman"/>
          <w:sz w:val="26"/>
          <w:szCs w:val="26"/>
        </w:rPr>
        <w:t>2</w:t>
      </w:r>
      <w:r w:rsidR="0049786F" w:rsidRPr="00467CBF">
        <w:rPr>
          <w:rFonts w:ascii="Times New Roman" w:hAnsi="Times New Roman" w:cs="Times New Roman"/>
          <w:sz w:val="26"/>
          <w:szCs w:val="26"/>
        </w:rPr>
        <w:t>,8</w:t>
      </w:r>
      <w:r w:rsidRPr="00467CBF">
        <w:rPr>
          <w:rFonts w:ascii="Times New Roman" w:hAnsi="Times New Roman" w:cs="Times New Roman"/>
          <w:sz w:val="26"/>
          <w:szCs w:val="26"/>
        </w:rPr>
        <w:t xml:space="preserve"> бюджетов прожиточного минимума.</w:t>
      </w:r>
    </w:p>
    <w:p w:rsidR="00146900" w:rsidRPr="00467CBF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Среднемесячная начисленная заработная плата по городу Когалыму на 1 работника в 201</w:t>
      </w:r>
      <w:r w:rsidR="00212FC4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212FC4" w:rsidRPr="00467CBF">
        <w:rPr>
          <w:rFonts w:ascii="Times New Roman" w:hAnsi="Times New Roman" w:cs="Times New Roman"/>
          <w:sz w:val="26"/>
          <w:szCs w:val="26"/>
        </w:rPr>
        <w:t>60</w:t>
      </w:r>
      <w:r w:rsidR="00FD1E00">
        <w:rPr>
          <w:rFonts w:ascii="Times New Roman" w:hAnsi="Times New Roman" w:cs="Times New Roman"/>
          <w:sz w:val="26"/>
          <w:szCs w:val="26"/>
        </w:rPr>
        <w:t> </w:t>
      </w:r>
      <w:r w:rsidR="00212FC4" w:rsidRPr="00467CBF">
        <w:rPr>
          <w:rFonts w:ascii="Times New Roman" w:hAnsi="Times New Roman" w:cs="Times New Roman"/>
          <w:sz w:val="26"/>
          <w:szCs w:val="26"/>
        </w:rPr>
        <w:t>335</w:t>
      </w:r>
      <w:r w:rsidRPr="00467CBF">
        <w:rPr>
          <w:rFonts w:ascii="Times New Roman" w:hAnsi="Times New Roman" w:cs="Times New Roman"/>
          <w:sz w:val="26"/>
          <w:szCs w:val="26"/>
        </w:rPr>
        <w:t xml:space="preserve"> рубл</w:t>
      </w:r>
      <w:r w:rsidR="00212FC4" w:rsidRPr="00467CBF">
        <w:rPr>
          <w:rFonts w:ascii="Times New Roman" w:hAnsi="Times New Roman" w:cs="Times New Roman"/>
          <w:sz w:val="26"/>
          <w:szCs w:val="26"/>
        </w:rPr>
        <w:t>ей</w:t>
      </w:r>
      <w:r w:rsidRPr="00467CBF">
        <w:rPr>
          <w:rFonts w:ascii="Times New Roman" w:hAnsi="Times New Roman" w:cs="Times New Roman"/>
          <w:sz w:val="26"/>
          <w:szCs w:val="26"/>
        </w:rPr>
        <w:t xml:space="preserve"> (прирост к соответствующему периоду прошлого года </w:t>
      </w:r>
      <w:r w:rsidR="00212FC4" w:rsidRPr="00467CBF">
        <w:rPr>
          <w:rFonts w:ascii="Times New Roman" w:hAnsi="Times New Roman" w:cs="Times New Roman"/>
          <w:sz w:val="26"/>
          <w:szCs w:val="26"/>
        </w:rPr>
        <w:t>103,3</w:t>
      </w:r>
      <w:r w:rsidRPr="00467CBF">
        <w:rPr>
          <w:rFonts w:ascii="Times New Roman" w:hAnsi="Times New Roman" w:cs="Times New Roman"/>
          <w:sz w:val="26"/>
          <w:szCs w:val="26"/>
        </w:rPr>
        <w:t>%).</w:t>
      </w:r>
    </w:p>
    <w:p w:rsidR="0021331B" w:rsidRPr="00467CBF" w:rsidRDefault="00555BD7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На фоне сложившейся экономической ситуации уровень регистрируемой безработицы в 201</w:t>
      </w:r>
      <w:r w:rsidR="003B5F91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</w:t>
      </w:r>
      <w:r w:rsidR="003B5F91" w:rsidRPr="00467CBF">
        <w:rPr>
          <w:rFonts w:ascii="Times New Roman" w:hAnsi="Times New Roman" w:cs="Times New Roman"/>
          <w:sz w:val="26"/>
          <w:szCs w:val="26"/>
        </w:rPr>
        <w:t xml:space="preserve">снизился </w:t>
      </w:r>
      <w:r w:rsidRPr="00467CBF">
        <w:rPr>
          <w:rFonts w:ascii="Times New Roman" w:hAnsi="Times New Roman" w:cs="Times New Roman"/>
          <w:sz w:val="26"/>
          <w:szCs w:val="26"/>
        </w:rPr>
        <w:t>по отношению к 201</w:t>
      </w:r>
      <w:r w:rsidR="003B5F91" w:rsidRPr="00467CBF">
        <w:rPr>
          <w:rFonts w:ascii="Times New Roman" w:hAnsi="Times New Roman" w:cs="Times New Roman"/>
          <w:sz w:val="26"/>
          <w:szCs w:val="26"/>
        </w:rPr>
        <w:t>5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на </w:t>
      </w:r>
      <w:r w:rsidR="0021331B" w:rsidRPr="00467CBF">
        <w:rPr>
          <w:rFonts w:ascii="Times New Roman" w:hAnsi="Times New Roman" w:cs="Times New Roman"/>
          <w:sz w:val="26"/>
          <w:szCs w:val="26"/>
        </w:rPr>
        <w:t>0,16 процентных пункта и составил 0,</w:t>
      </w:r>
      <w:r w:rsidR="003B5F91" w:rsidRPr="00467CBF">
        <w:rPr>
          <w:rFonts w:ascii="Times New Roman" w:hAnsi="Times New Roman" w:cs="Times New Roman"/>
          <w:sz w:val="26"/>
          <w:szCs w:val="26"/>
        </w:rPr>
        <w:t>34</w:t>
      </w:r>
      <w:r w:rsidR="0021331B" w:rsidRPr="00467CBF">
        <w:rPr>
          <w:rFonts w:ascii="Times New Roman" w:hAnsi="Times New Roman" w:cs="Times New Roman"/>
          <w:sz w:val="26"/>
          <w:szCs w:val="26"/>
        </w:rPr>
        <w:t>%.</w:t>
      </w:r>
    </w:p>
    <w:p w:rsidR="00146900" w:rsidRPr="00467CBF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 201</w:t>
      </w:r>
      <w:r w:rsidR="003B5F91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увеличилось количество субъектов малого и среднего предпринимательства (с учетом индивидуальных предпринимателей) по сравнению с 201</w:t>
      </w:r>
      <w:r w:rsidR="003B5F91" w:rsidRPr="00467CBF">
        <w:rPr>
          <w:rFonts w:ascii="Times New Roman" w:hAnsi="Times New Roman" w:cs="Times New Roman"/>
          <w:sz w:val="26"/>
          <w:szCs w:val="26"/>
        </w:rPr>
        <w:t>5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9972D4" w:rsidRPr="00467CBF">
        <w:rPr>
          <w:rFonts w:ascii="Times New Roman" w:hAnsi="Times New Roman" w:cs="Times New Roman"/>
          <w:sz w:val="26"/>
          <w:szCs w:val="26"/>
        </w:rPr>
        <w:t>0,</w:t>
      </w:r>
      <w:r w:rsidR="003B5F91" w:rsidRPr="00467CBF">
        <w:rPr>
          <w:rFonts w:ascii="Times New Roman" w:hAnsi="Times New Roman" w:cs="Times New Roman"/>
          <w:sz w:val="26"/>
          <w:szCs w:val="26"/>
        </w:rPr>
        <w:t>5</w:t>
      </w:r>
      <w:r w:rsidRPr="00467CBF">
        <w:rPr>
          <w:rFonts w:ascii="Times New Roman" w:hAnsi="Times New Roman" w:cs="Times New Roman"/>
          <w:sz w:val="26"/>
          <w:szCs w:val="26"/>
        </w:rPr>
        <w:t>% и составило 1</w:t>
      </w:r>
      <w:r w:rsidR="00FD1E00">
        <w:rPr>
          <w:rFonts w:ascii="Times New Roman" w:hAnsi="Times New Roman" w:cs="Times New Roman"/>
          <w:sz w:val="26"/>
          <w:szCs w:val="26"/>
        </w:rPr>
        <w:t> </w:t>
      </w:r>
      <w:r w:rsidR="003B5F91" w:rsidRPr="00467CBF">
        <w:rPr>
          <w:rFonts w:ascii="Times New Roman" w:hAnsi="Times New Roman" w:cs="Times New Roman"/>
          <w:sz w:val="26"/>
          <w:szCs w:val="26"/>
        </w:rPr>
        <w:t>99</w:t>
      </w:r>
      <w:r w:rsidR="009972D4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субъектов (201</w:t>
      </w:r>
      <w:r w:rsidR="003B5F91" w:rsidRPr="00467CBF">
        <w:rPr>
          <w:rFonts w:ascii="Times New Roman" w:hAnsi="Times New Roman" w:cs="Times New Roman"/>
          <w:sz w:val="26"/>
          <w:szCs w:val="26"/>
        </w:rPr>
        <w:t>5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3B5F91" w:rsidRPr="00467CBF">
        <w:rPr>
          <w:rFonts w:ascii="Times New Roman" w:hAnsi="Times New Roman" w:cs="Times New Roman"/>
          <w:sz w:val="26"/>
          <w:szCs w:val="26"/>
        </w:rPr>
        <w:t>1</w:t>
      </w:r>
      <w:r w:rsidR="00FD1E00">
        <w:rPr>
          <w:rFonts w:ascii="Times New Roman" w:hAnsi="Times New Roman" w:cs="Times New Roman"/>
          <w:sz w:val="26"/>
          <w:szCs w:val="26"/>
        </w:rPr>
        <w:t> </w:t>
      </w:r>
      <w:r w:rsidR="003B5F91" w:rsidRPr="00467CBF">
        <w:rPr>
          <w:rFonts w:ascii="Times New Roman" w:hAnsi="Times New Roman" w:cs="Times New Roman"/>
          <w:sz w:val="26"/>
          <w:szCs w:val="26"/>
        </w:rPr>
        <w:t>986</w:t>
      </w:r>
      <w:r w:rsidRPr="00467CBF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9972D4" w:rsidRPr="00467CBF">
        <w:rPr>
          <w:rFonts w:ascii="Times New Roman" w:hAnsi="Times New Roman" w:cs="Times New Roman"/>
          <w:sz w:val="26"/>
          <w:szCs w:val="26"/>
        </w:rPr>
        <w:t>ов</w:t>
      </w:r>
      <w:r w:rsidRPr="00467CBF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B5F91" w:rsidRPr="00467CBF" w:rsidRDefault="003B5F91" w:rsidP="003B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 2016 году ввод жилья составил 5,5 тыс. кв.м., в том числе индивидуальное жилищное строительство площадью 1,3 тыс. кв. м.</w:t>
      </w:r>
    </w:p>
    <w:p w:rsidR="00CD0F2B" w:rsidRPr="00467CBF" w:rsidRDefault="00CD0F2B" w:rsidP="00CD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 201</w:t>
      </w:r>
      <w:r w:rsidR="003B5F91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отмечалась стабильная работа предприятий жилищно-коммунального комплекса. Своевременная и качественная подготовка к осенне-зимнему периоду 201</w:t>
      </w:r>
      <w:r w:rsidR="003B5F91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>-201</w:t>
      </w:r>
      <w:r w:rsidR="003B5F91" w:rsidRPr="00467CBF">
        <w:rPr>
          <w:rFonts w:ascii="Times New Roman" w:hAnsi="Times New Roman" w:cs="Times New Roman"/>
          <w:sz w:val="26"/>
          <w:szCs w:val="26"/>
        </w:rPr>
        <w:t>7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годов обеспечила надежное и безаварийное тепло -, водо</w:t>
      </w:r>
      <w:r w:rsidR="00351886">
        <w:rPr>
          <w:rFonts w:ascii="Times New Roman" w:hAnsi="Times New Roman" w:cs="Times New Roman"/>
          <w:sz w:val="26"/>
          <w:szCs w:val="26"/>
        </w:rPr>
        <w:t>-</w:t>
      </w:r>
      <w:r w:rsidRPr="00467CBF">
        <w:rPr>
          <w:rFonts w:ascii="Times New Roman" w:hAnsi="Times New Roman" w:cs="Times New Roman"/>
          <w:sz w:val="26"/>
          <w:szCs w:val="26"/>
        </w:rPr>
        <w:t xml:space="preserve"> и электроснабжение потребителей города в зимний период.</w:t>
      </w:r>
    </w:p>
    <w:p w:rsidR="003B5F91" w:rsidRPr="00467CBF" w:rsidRDefault="003B5F91" w:rsidP="003B5F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В 2016 году открылся спортивно-культурный комплекс «Галактика», в котором размещены океанариум, аквапарк, крытый ледового каток, фитнес центр, спортивные и торговые зоны, детский игровой центр. </w:t>
      </w:r>
    </w:p>
    <w:p w:rsidR="003B5F91" w:rsidRPr="00467CBF" w:rsidRDefault="003B5F91" w:rsidP="003B5F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Продолжилась реконструкция киноконцертного комплекса «Янтарь» под филиал Государственного акад</w:t>
      </w:r>
      <w:r w:rsidR="00D5737E" w:rsidRPr="00467CBF">
        <w:rPr>
          <w:rFonts w:ascii="Times New Roman" w:hAnsi="Times New Roman" w:cs="Times New Roman"/>
          <w:sz w:val="26"/>
          <w:szCs w:val="26"/>
        </w:rPr>
        <w:t>емического Малого театра России и здания Дом</w:t>
      </w:r>
      <w:r w:rsidR="00C92A61">
        <w:rPr>
          <w:rFonts w:ascii="Times New Roman" w:hAnsi="Times New Roman" w:cs="Times New Roman"/>
          <w:sz w:val="26"/>
          <w:szCs w:val="26"/>
        </w:rPr>
        <w:t>а</w:t>
      </w:r>
      <w:r w:rsidR="00D5737E" w:rsidRPr="00467CBF">
        <w:rPr>
          <w:rFonts w:ascii="Times New Roman" w:hAnsi="Times New Roman" w:cs="Times New Roman"/>
          <w:sz w:val="26"/>
          <w:szCs w:val="26"/>
        </w:rPr>
        <w:t xml:space="preserve"> культуры «Сибирь».</w:t>
      </w:r>
    </w:p>
    <w:p w:rsidR="00D5737E" w:rsidRPr="00467CBF" w:rsidRDefault="00D5737E" w:rsidP="00D57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 целях обеспечения земельного участка под строительство объекта социальной инфраструктуры «Общеобразовательная школа на 1</w:t>
      </w:r>
      <w:r w:rsidR="00FD1E00">
        <w:rPr>
          <w:rFonts w:ascii="Times New Roman" w:hAnsi="Times New Roman" w:cs="Times New Roman"/>
          <w:sz w:val="26"/>
          <w:szCs w:val="26"/>
        </w:rPr>
        <w:t> </w:t>
      </w:r>
      <w:r w:rsidRPr="00467CBF">
        <w:rPr>
          <w:rFonts w:ascii="Times New Roman" w:hAnsi="Times New Roman" w:cs="Times New Roman"/>
          <w:sz w:val="26"/>
          <w:szCs w:val="26"/>
        </w:rPr>
        <w:t>100 мест» запланировано строительства магистральных инженерных сетей. Строительство школы, запланировано в период 2018-2020 годы.</w:t>
      </w:r>
    </w:p>
    <w:p w:rsidR="00CD0F2B" w:rsidRPr="00467CBF" w:rsidRDefault="00CD0F2B" w:rsidP="00CD0F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 течение 201</w:t>
      </w:r>
      <w:r w:rsidR="00D5737E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года органами местного самоуправления города Когалыма обеспечена реализация ключевых направлений бюджетной и налоговой политики, содействие социальному и экономическому развитию, обеспечение устойчивости бюджетной системы города, повышение уровня и качества жизни населения города Когалыма. </w:t>
      </w:r>
    </w:p>
    <w:p w:rsidR="00CD0F2B" w:rsidRPr="00467CBF" w:rsidRDefault="00CD0F2B" w:rsidP="00CD0F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Принимаемые меры по реализации приоритетных направлений экономической политики позволяют по многим показателям ожидать стабильных темпов развития и в 201</w:t>
      </w:r>
      <w:r w:rsidR="00D5737E" w:rsidRPr="00467CBF">
        <w:rPr>
          <w:rFonts w:ascii="Times New Roman" w:hAnsi="Times New Roman" w:cs="Times New Roman"/>
          <w:sz w:val="26"/>
          <w:szCs w:val="26"/>
        </w:rPr>
        <w:t>7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CD0F2B" w:rsidRPr="00467CBF" w:rsidRDefault="00CD0F2B" w:rsidP="00D573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46900" w:rsidRPr="00467CBF" w:rsidRDefault="00146900" w:rsidP="00D573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lastRenderedPageBreak/>
        <w:t>Основные показатели развития экономики города</w:t>
      </w:r>
    </w:p>
    <w:p w:rsidR="00146900" w:rsidRPr="00467CBF" w:rsidRDefault="00146900" w:rsidP="00D573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 201</w:t>
      </w:r>
      <w:r w:rsidR="00D5737E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>-20</w:t>
      </w:r>
      <w:r w:rsidR="00D5737E" w:rsidRPr="00467CBF">
        <w:rPr>
          <w:rFonts w:ascii="Times New Roman" w:hAnsi="Times New Roman" w:cs="Times New Roman"/>
          <w:sz w:val="26"/>
          <w:szCs w:val="26"/>
        </w:rPr>
        <w:t>20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годах</w:t>
      </w:r>
    </w:p>
    <w:p w:rsidR="00146900" w:rsidRPr="00467CBF" w:rsidRDefault="00146900" w:rsidP="001469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709"/>
        <w:gridCol w:w="1275"/>
        <w:gridCol w:w="1276"/>
        <w:gridCol w:w="1276"/>
        <w:gridCol w:w="1276"/>
        <w:gridCol w:w="1276"/>
        <w:gridCol w:w="1167"/>
      </w:tblGrid>
      <w:tr w:rsidR="00D5737E" w:rsidRPr="00467CBF" w:rsidTr="002C139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00" w:rsidRPr="00467CBF" w:rsidRDefault="00146900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00" w:rsidRPr="00467CBF" w:rsidRDefault="00146900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  <w:p w:rsidR="00146900" w:rsidRPr="00467CBF" w:rsidRDefault="00146900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00" w:rsidRPr="00467CBF" w:rsidRDefault="009446D3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Вариант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00" w:rsidRPr="00467CBF" w:rsidRDefault="00146900" w:rsidP="00D5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  <w:r w:rsidR="00D5737E" w:rsidRPr="00467CB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 xml:space="preserve">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00" w:rsidRPr="00467CBF" w:rsidRDefault="00146900" w:rsidP="00D5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  <w:r w:rsidR="00D5737E" w:rsidRPr="00467CBF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 xml:space="preserve"> (оценка)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00" w:rsidRPr="00467CBF" w:rsidRDefault="00146900" w:rsidP="00D5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  <w:r w:rsidR="00D5737E" w:rsidRPr="00467CB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 xml:space="preserve">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00" w:rsidRPr="00467CBF" w:rsidRDefault="00D5737E" w:rsidP="00D5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2019</w:t>
            </w:r>
            <w:r w:rsidR="00146900" w:rsidRPr="00467CBF">
              <w:rPr>
                <w:rFonts w:ascii="Times New Roman" w:hAnsi="Times New Roman" w:cs="Times New Roman"/>
                <w:sz w:val="23"/>
                <w:szCs w:val="23"/>
              </w:rPr>
              <w:t xml:space="preserve"> (прогноз)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7E" w:rsidRPr="00467CBF" w:rsidRDefault="00146900" w:rsidP="00D5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D5737E" w:rsidRPr="00467CBF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  <w:p w:rsidR="00146900" w:rsidRPr="00467CBF" w:rsidRDefault="00146900" w:rsidP="00D5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(прогноз)</w:t>
            </w:r>
          </w:p>
        </w:tc>
      </w:tr>
      <w:tr w:rsidR="005A6E7B" w:rsidRPr="00467CBF" w:rsidTr="002C1399">
        <w:trPr>
          <w:trHeight w:val="70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E7B" w:rsidRPr="00467CBF" w:rsidRDefault="005A6E7B" w:rsidP="00D20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Индекс потребительских цен (к соответствующему периоду предыдущего года)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E7B" w:rsidRPr="00467CBF" w:rsidRDefault="005A6E7B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467CBF" w:rsidRDefault="005A6E7B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консервативный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108,5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104,0</w:t>
            </w:r>
          </w:p>
        </w:tc>
      </w:tr>
      <w:tr w:rsidR="005A6E7B" w:rsidRPr="00467CBF" w:rsidTr="00D5737E">
        <w:trPr>
          <w:trHeight w:val="7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E7B" w:rsidRPr="00467CBF" w:rsidRDefault="005A6E7B" w:rsidP="00D20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E7B" w:rsidRPr="00467CBF" w:rsidRDefault="005A6E7B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467CBF" w:rsidRDefault="005A6E7B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базовый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D5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D5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104,0</w:t>
            </w:r>
          </w:p>
        </w:tc>
      </w:tr>
      <w:tr w:rsidR="005A6E7B" w:rsidRPr="00467CBF" w:rsidTr="002C1399">
        <w:trPr>
          <w:trHeight w:val="6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B" w:rsidRPr="00467CBF" w:rsidRDefault="005A6E7B" w:rsidP="008761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B" w:rsidRPr="00467CBF" w:rsidRDefault="005A6E7B" w:rsidP="008761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467CBF" w:rsidRDefault="005A6E7B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целевой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5A6E7B" w:rsidRDefault="005A6E7B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5A6E7B" w:rsidRDefault="005A6E7B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87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104,0</w:t>
            </w:r>
          </w:p>
        </w:tc>
      </w:tr>
      <w:tr w:rsidR="00D5737E" w:rsidRPr="00467CBF" w:rsidTr="002A2588">
        <w:trPr>
          <w:trHeight w:val="88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37E" w:rsidRPr="00467CBF" w:rsidRDefault="00D5737E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 xml:space="preserve">Объём отгруженных товаров собственного производства </w:t>
            </w:r>
            <w:r w:rsidRPr="00467CBF">
              <w:rPr>
                <w:rFonts w:ascii="Times New Roman" w:hAnsi="Times New Roman" w:cs="Times New Roman"/>
                <w:i/>
                <w:sz w:val="23"/>
                <w:szCs w:val="23"/>
              </w:rPr>
              <w:t>(индекс промышленного производства)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37E" w:rsidRPr="00467CBF" w:rsidRDefault="00D5737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млн. руб. (%)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467CBF" w:rsidRDefault="00D5737E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консервативный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37E" w:rsidRPr="00467CBF" w:rsidRDefault="00D5737E" w:rsidP="00D5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 xml:space="preserve">28 978,49 </w:t>
            </w:r>
            <w:r w:rsidRPr="00467CBF">
              <w:rPr>
                <w:rFonts w:ascii="Times New Roman" w:hAnsi="Times New Roman" w:cs="Times New Roman"/>
                <w:i/>
                <w:sz w:val="23"/>
                <w:szCs w:val="23"/>
              </w:rPr>
              <w:t>(98,8%)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37E" w:rsidRPr="00351886" w:rsidRDefault="00D5737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4F0309" w:rsidRPr="0035188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4F0309" w:rsidRPr="00351886">
              <w:rPr>
                <w:rFonts w:ascii="Times New Roman" w:hAnsi="Times New Roman" w:cs="Times New Roman"/>
                <w:sz w:val="23"/>
                <w:szCs w:val="23"/>
              </w:rPr>
              <w:t>972</w:t>
            </w: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F0309" w:rsidRPr="00351886"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  <w:p w:rsidR="00D5737E" w:rsidRPr="00351886" w:rsidRDefault="00D5737E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</w:t>
            </w:r>
            <w:r w:rsidR="00351886"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110,3</w:t>
            </w: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351886" w:rsidRDefault="00D5737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4F0309" w:rsidRPr="0035188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4F0309" w:rsidRPr="00351886">
              <w:rPr>
                <w:rFonts w:ascii="Times New Roman" w:hAnsi="Times New Roman" w:cs="Times New Roman"/>
                <w:sz w:val="23"/>
                <w:szCs w:val="23"/>
              </w:rPr>
              <w:t>936</w:t>
            </w: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F0309" w:rsidRPr="00351886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  <w:p w:rsidR="00D5737E" w:rsidRPr="00351886" w:rsidRDefault="00D5737E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</w:t>
            </w:r>
            <w:r w:rsidR="00351886"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99,0</w:t>
            </w: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351886" w:rsidRDefault="004F0309" w:rsidP="00BF6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  <w:r w:rsidR="00D5737E" w:rsidRPr="00351886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076</w:t>
            </w:r>
            <w:r w:rsidR="00D5737E" w:rsidRPr="00351886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  <w:p w:rsidR="00D5737E" w:rsidRPr="00351886" w:rsidRDefault="00D5737E" w:rsidP="003D0B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</w:t>
            </w:r>
            <w:r w:rsidR="00351886"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98,</w:t>
            </w:r>
            <w:r w:rsidR="003D0B28">
              <w:rPr>
                <w:rFonts w:ascii="Times New Roman" w:hAnsi="Times New Roman" w:cs="Times New Roman"/>
                <w:i/>
                <w:sz w:val="23"/>
                <w:szCs w:val="23"/>
              </w:rPr>
              <w:t>5</w:t>
            </w: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%)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351886" w:rsidRDefault="00487F07" w:rsidP="003D0B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37 227,59</w:t>
            </w:r>
            <w:r w:rsidR="00D5737E"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</w:t>
            </w:r>
            <w:r w:rsidR="003D0B28">
              <w:rPr>
                <w:rFonts w:ascii="Times New Roman" w:hAnsi="Times New Roman" w:cs="Times New Roman"/>
                <w:i/>
                <w:sz w:val="23"/>
                <w:szCs w:val="23"/>
              </w:rPr>
              <w:t>100,2</w:t>
            </w:r>
            <w:r w:rsidR="00D5737E"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%)</w:t>
            </w:r>
          </w:p>
        </w:tc>
      </w:tr>
      <w:tr w:rsidR="00D5737E" w:rsidRPr="00467CBF" w:rsidTr="00CE2FA0">
        <w:trPr>
          <w:trHeight w:val="7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37E" w:rsidRPr="00467CBF" w:rsidRDefault="00D5737E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7E" w:rsidRPr="00467CBF" w:rsidRDefault="00D5737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467CBF" w:rsidRDefault="00D5737E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базовый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7E" w:rsidRPr="00467CBF" w:rsidRDefault="00D5737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7E" w:rsidRPr="00351886" w:rsidRDefault="00D5737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351886" w:rsidRDefault="004F0309" w:rsidP="00BF6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  <w:r w:rsidR="00D5737E" w:rsidRPr="00351886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063</w:t>
            </w:r>
            <w:r w:rsidR="00D5737E" w:rsidRPr="00351886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  <w:p w:rsidR="00D5737E" w:rsidRPr="00351886" w:rsidRDefault="00D5737E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</w:t>
            </w:r>
            <w:r w:rsidR="00351886"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99,4</w:t>
            </w: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351886" w:rsidRDefault="004F0309" w:rsidP="00BF6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36 363,5</w:t>
            </w:r>
            <w:r w:rsidR="004C504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:rsidR="00D5737E" w:rsidRPr="00351886" w:rsidRDefault="00D5737E" w:rsidP="003D0B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</w:t>
            </w:r>
            <w:r w:rsidR="00351886"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99,</w:t>
            </w:r>
            <w:r w:rsidR="003D0B28">
              <w:rPr>
                <w:rFonts w:ascii="Times New Roman" w:hAnsi="Times New Roman" w:cs="Times New Roman"/>
                <w:i/>
                <w:sz w:val="23"/>
                <w:szCs w:val="23"/>
              </w:rPr>
              <w:t>7</w:t>
            </w: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%)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351886" w:rsidRDefault="00487F07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37 951,0</w:t>
            </w:r>
            <w:r w:rsidR="004C504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:rsidR="00D5737E" w:rsidRPr="00351886" w:rsidRDefault="003D0B28" w:rsidP="003D0B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(100,4</w:t>
            </w:r>
            <w:r w:rsidR="00D5737E"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%)</w:t>
            </w:r>
          </w:p>
        </w:tc>
      </w:tr>
      <w:tr w:rsidR="00D5737E" w:rsidRPr="00467CBF" w:rsidTr="002C1399">
        <w:trPr>
          <w:trHeight w:val="7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7E" w:rsidRPr="00467CBF" w:rsidRDefault="00D5737E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467CBF" w:rsidRDefault="00D5737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467CBF" w:rsidRDefault="00D5737E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целевой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467CBF" w:rsidRDefault="00D5737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351886" w:rsidRDefault="00D5737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351886" w:rsidRDefault="004F0309" w:rsidP="00BF6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35 21</w:t>
            </w:r>
            <w:r w:rsidR="003D0B28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,62</w:t>
            </w:r>
          </w:p>
          <w:p w:rsidR="00D5737E" w:rsidRPr="00351886" w:rsidRDefault="00D5737E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351886" w:rsidRPr="00351886">
              <w:rPr>
                <w:rFonts w:ascii="Times New Roman" w:hAnsi="Times New Roman" w:cs="Times New Roman"/>
                <w:sz w:val="23"/>
                <w:szCs w:val="23"/>
              </w:rPr>
              <w:t>99,6</w:t>
            </w: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351886" w:rsidRDefault="004F0309" w:rsidP="00BF6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  <w:r w:rsidR="00D5737E" w:rsidRPr="00351886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3D0B28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="00D5737E" w:rsidRPr="00351886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C5049">
              <w:rPr>
                <w:rFonts w:ascii="Times New Roman" w:hAnsi="Times New Roman" w:cs="Times New Roman"/>
                <w:sz w:val="23"/>
                <w:szCs w:val="23"/>
              </w:rPr>
              <w:t>91</w:t>
            </w:r>
          </w:p>
          <w:p w:rsidR="00D5737E" w:rsidRPr="00351886" w:rsidRDefault="00D5737E" w:rsidP="003D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351886" w:rsidRPr="00351886">
              <w:rPr>
                <w:rFonts w:ascii="Times New Roman" w:hAnsi="Times New Roman" w:cs="Times New Roman"/>
                <w:sz w:val="23"/>
                <w:szCs w:val="23"/>
              </w:rPr>
              <w:t>100,</w:t>
            </w:r>
            <w:r w:rsidR="003D0B2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%)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E" w:rsidRPr="00351886" w:rsidRDefault="00487F07" w:rsidP="004C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38 747,5</w:t>
            </w:r>
            <w:r w:rsidR="004C504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D5737E" w:rsidRPr="00351886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351886" w:rsidRPr="00351886">
              <w:rPr>
                <w:rFonts w:ascii="Times New Roman" w:hAnsi="Times New Roman" w:cs="Times New Roman"/>
                <w:sz w:val="23"/>
                <w:szCs w:val="23"/>
              </w:rPr>
              <w:t>100,6</w:t>
            </w:r>
            <w:r w:rsidR="00D5737E" w:rsidRPr="00351886">
              <w:rPr>
                <w:rFonts w:ascii="Times New Roman" w:hAnsi="Times New Roman" w:cs="Times New Roman"/>
                <w:sz w:val="23"/>
                <w:szCs w:val="23"/>
              </w:rPr>
              <w:t>%)</w:t>
            </w:r>
          </w:p>
        </w:tc>
      </w:tr>
      <w:tr w:rsidR="00F17EFE" w:rsidRPr="00467CBF" w:rsidTr="002C1399">
        <w:trPr>
          <w:trHeight w:val="65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FE" w:rsidRPr="00351886" w:rsidRDefault="00F17EFE" w:rsidP="003C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Инвестиции в основной капитал</w:t>
            </w:r>
          </w:p>
          <w:p w:rsidR="00F17EFE" w:rsidRPr="00351886" w:rsidRDefault="00F17EFE" w:rsidP="003C3F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(индекс физического объема)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млн. руб.</w:t>
            </w:r>
          </w:p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(%)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консервативный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16 874,96</w:t>
            </w:r>
          </w:p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(81,7%)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17 247,42</w:t>
            </w:r>
          </w:p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(97,1%)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17 052,33</w:t>
            </w:r>
          </w:p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(97,0%)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17 253,17</w:t>
            </w:r>
          </w:p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(98,5%)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17 386,09</w:t>
            </w:r>
          </w:p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(97,8%)</w:t>
            </w:r>
          </w:p>
        </w:tc>
      </w:tr>
      <w:tr w:rsidR="00F17EFE" w:rsidRPr="00467CBF" w:rsidTr="002C1399">
        <w:trPr>
          <w:trHeight w:val="65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FE" w:rsidRPr="00351886" w:rsidRDefault="00F17EFE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базовый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 xml:space="preserve">17 093,93 </w:t>
            </w: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(97,3%)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17 490,80 (99,6%)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16 676,02 (98,1%)</w:t>
            </w:r>
          </w:p>
        </w:tc>
      </w:tr>
      <w:tr w:rsidR="00F17EFE" w:rsidRPr="00467CBF" w:rsidTr="002C1399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E" w:rsidRPr="00351886" w:rsidRDefault="00F17EFE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целевой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17 653,84</w:t>
            </w:r>
          </w:p>
          <w:p w:rsidR="00F17EFE" w:rsidRPr="00351886" w:rsidRDefault="00F17EFE" w:rsidP="002C56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(99,7%)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18 256,69</w:t>
            </w:r>
          </w:p>
          <w:p w:rsidR="00F17EFE" w:rsidRPr="00351886" w:rsidRDefault="00F17EFE" w:rsidP="002C56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(99,9%)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18 958,60</w:t>
            </w:r>
          </w:p>
          <w:p w:rsidR="00F17EFE" w:rsidRPr="00351886" w:rsidRDefault="00F17EFE" w:rsidP="002C56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(100,1%)</w:t>
            </w:r>
          </w:p>
        </w:tc>
      </w:tr>
      <w:tr w:rsidR="00F17EFE" w:rsidRPr="00467CBF" w:rsidTr="002C1399">
        <w:trPr>
          <w:trHeight w:val="44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FE" w:rsidRPr="00351886" w:rsidRDefault="00F17EFE" w:rsidP="003C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Ввод в действие жилых домов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тыс.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консервативный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5,55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28,48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20,6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3C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21,6</w:t>
            </w:r>
          </w:p>
        </w:tc>
      </w:tr>
      <w:tr w:rsidR="00F17EFE" w:rsidRPr="00467CBF" w:rsidTr="002C1399">
        <w:trPr>
          <w:trHeight w:val="44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FE" w:rsidRPr="00351886" w:rsidRDefault="00F17EFE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базовый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23,8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24,8</w:t>
            </w:r>
          </w:p>
        </w:tc>
      </w:tr>
      <w:tr w:rsidR="00F17EFE" w:rsidRPr="00467CBF" w:rsidTr="002C1399">
        <w:trPr>
          <w:trHeight w:val="56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FE" w:rsidRPr="00351886" w:rsidRDefault="00F17EFE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целевой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27,0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E" w:rsidRPr="00351886" w:rsidRDefault="00F17EFE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28,0</w:t>
            </w:r>
          </w:p>
        </w:tc>
      </w:tr>
      <w:tr w:rsidR="005A6E7B" w:rsidRPr="00467CBF" w:rsidTr="002C1399">
        <w:trPr>
          <w:trHeight w:val="7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E7B" w:rsidRPr="00351886" w:rsidRDefault="005A6E7B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 xml:space="preserve">Оборот розничной торговли </w:t>
            </w:r>
          </w:p>
          <w:p w:rsidR="005A6E7B" w:rsidRPr="00351886" w:rsidRDefault="005A6E7B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(в сопоставимых ценах к уровню предыдущего года)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 xml:space="preserve">млн. руб. </w:t>
            </w:r>
          </w:p>
          <w:p w:rsidR="005A6E7B" w:rsidRPr="00351886" w:rsidRDefault="005A6E7B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(%)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консервативный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10 348,63</w:t>
            </w:r>
          </w:p>
          <w:p w:rsidR="005A6E7B" w:rsidRPr="00351886" w:rsidRDefault="005A6E7B" w:rsidP="0035188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(96,1%)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10 585,20</w:t>
            </w:r>
          </w:p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(99,5%)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10 775,73</w:t>
            </w:r>
          </w:p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(99,3%)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10 969,70</w:t>
            </w:r>
          </w:p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(99,4%)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11 375,58</w:t>
            </w:r>
          </w:p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(100,7%)</w:t>
            </w:r>
          </w:p>
        </w:tc>
      </w:tr>
      <w:tr w:rsidR="005A6E7B" w:rsidRPr="00467CBF" w:rsidTr="002C1399">
        <w:trPr>
          <w:trHeight w:val="71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E7B" w:rsidRPr="00351886" w:rsidRDefault="005A6E7B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базовый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B5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10 785,26</w:t>
            </w:r>
          </w:p>
          <w:p w:rsidR="005A6E7B" w:rsidRPr="00351886" w:rsidRDefault="005A6E7B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(99,4%)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11 108,82 (100,7%)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11 474,30 (100,8%)</w:t>
            </w:r>
          </w:p>
        </w:tc>
      </w:tr>
      <w:tr w:rsidR="005A6E7B" w:rsidRPr="00467CBF" w:rsidTr="002C1399">
        <w:trPr>
          <w:trHeight w:val="65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B" w:rsidRPr="00351886" w:rsidRDefault="005A6E7B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целевой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10 954,62</w:t>
            </w:r>
          </w:p>
          <w:p w:rsidR="005A6E7B" w:rsidRPr="00351886" w:rsidRDefault="005A6E7B" w:rsidP="00A64A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(100,7%)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11 392,81</w:t>
            </w:r>
          </w:p>
          <w:p w:rsidR="005A6E7B" w:rsidRPr="00351886" w:rsidRDefault="005A6E7B" w:rsidP="00A64A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(101,0%)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7B" w:rsidRPr="00351886" w:rsidRDefault="005A6E7B" w:rsidP="0035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11 871,31</w:t>
            </w:r>
          </w:p>
          <w:p w:rsidR="005A6E7B" w:rsidRPr="00351886" w:rsidRDefault="005A6E7B" w:rsidP="00A64A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i/>
                <w:sz w:val="23"/>
                <w:szCs w:val="23"/>
              </w:rPr>
              <w:t>(101,3%)</w:t>
            </w:r>
          </w:p>
        </w:tc>
      </w:tr>
      <w:tr w:rsidR="00A64A63" w:rsidRPr="00467CBF" w:rsidTr="002C1399">
        <w:trPr>
          <w:trHeight w:val="2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63" w:rsidRPr="00467CBF" w:rsidRDefault="00A64A63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Численность населения (</w:t>
            </w:r>
            <w:r w:rsidRPr="00467CBF">
              <w:rPr>
                <w:rFonts w:ascii="Times New Roman" w:hAnsi="Times New Roman" w:cs="Times New Roman"/>
                <w:i/>
                <w:sz w:val="23"/>
                <w:szCs w:val="23"/>
              </w:rPr>
              <w:t>среднегодовая</w:t>
            </w: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консервативный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48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64,1</w:t>
            </w:r>
            <w:r w:rsidR="00487F07">
              <w:rPr>
                <w:rFonts w:ascii="Times New Roman" w:hAnsi="Times New Roman" w:cs="Times New Roman"/>
                <w:sz w:val="23"/>
                <w:szCs w:val="23"/>
              </w:rPr>
              <w:t>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48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65,4</w:t>
            </w:r>
            <w:r w:rsidR="00487F07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A64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66,566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48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67,6</w:t>
            </w:r>
            <w:r w:rsidR="00487F07">
              <w:rPr>
                <w:rFonts w:ascii="Times New Roman" w:hAnsi="Times New Roman" w:cs="Times New Roman"/>
                <w:sz w:val="23"/>
                <w:szCs w:val="23"/>
              </w:rPr>
              <w:t>79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48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68,7</w:t>
            </w:r>
            <w:r w:rsidR="00487F07">
              <w:rPr>
                <w:rFonts w:ascii="Times New Roman" w:hAnsi="Times New Roman" w:cs="Times New Roman"/>
                <w:sz w:val="23"/>
                <w:szCs w:val="23"/>
              </w:rPr>
              <w:t>93</w:t>
            </w:r>
          </w:p>
        </w:tc>
      </w:tr>
      <w:tr w:rsidR="00A64A63" w:rsidRPr="00467CBF" w:rsidTr="002C1399">
        <w:trPr>
          <w:trHeight w:val="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63" w:rsidRPr="00467CBF" w:rsidRDefault="00A64A63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базовый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66,57</w:t>
            </w:r>
            <w:r w:rsidR="00487F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48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67,7</w:t>
            </w:r>
            <w:r w:rsidR="00487F07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48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68,8</w:t>
            </w:r>
            <w:r w:rsidR="00487F07"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</w:tr>
      <w:tr w:rsidR="00A64A63" w:rsidRPr="00467CBF" w:rsidTr="002C1399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63" w:rsidRPr="00467CBF" w:rsidRDefault="00A64A63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целевой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48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66,5</w:t>
            </w:r>
            <w:r w:rsidR="00487F07"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48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67,7</w:t>
            </w:r>
            <w:r w:rsidR="00487F07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467CBF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7CBF">
              <w:rPr>
                <w:rFonts w:ascii="Times New Roman" w:hAnsi="Times New Roman" w:cs="Times New Roman"/>
                <w:sz w:val="23"/>
                <w:szCs w:val="23"/>
              </w:rPr>
              <w:t>68,92</w:t>
            </w:r>
            <w:r w:rsidR="00487F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A64A63" w:rsidRPr="00467CBF" w:rsidTr="002C1399">
        <w:trPr>
          <w:trHeight w:val="27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A63" w:rsidRPr="00351886" w:rsidRDefault="00A64A63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Реальные денежные доходы населения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консервативный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98,3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C3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99,7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A64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100,5</w:t>
            </w:r>
          </w:p>
        </w:tc>
      </w:tr>
      <w:tr w:rsidR="00A64A63" w:rsidRPr="00467CBF" w:rsidTr="002C1399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63" w:rsidRPr="00351886" w:rsidRDefault="00A64A63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базовый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C3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101,3</w:t>
            </w:r>
          </w:p>
        </w:tc>
      </w:tr>
      <w:tr w:rsidR="00A64A63" w:rsidRPr="00467CBF" w:rsidTr="002C1399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3" w:rsidRPr="00351886" w:rsidRDefault="00A64A63" w:rsidP="0094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CE2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целевой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6B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101,7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3" w:rsidRPr="00351886" w:rsidRDefault="00A64A63" w:rsidP="00944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886">
              <w:rPr>
                <w:rFonts w:ascii="Times New Roman" w:hAnsi="Times New Roman" w:cs="Times New Roman"/>
                <w:sz w:val="23"/>
                <w:szCs w:val="23"/>
              </w:rPr>
              <w:t>101,8</w:t>
            </w:r>
          </w:p>
        </w:tc>
      </w:tr>
    </w:tbl>
    <w:p w:rsidR="00D45DC2" w:rsidRPr="00467CBF" w:rsidRDefault="00D45DC2" w:rsidP="00D45DC2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3" w:name="_Toc498075892"/>
      <w:r w:rsidRPr="00467CBF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1. ПРОМЫШЛЕННОЕ ПРОИЗВОДСТВО</w:t>
      </w:r>
      <w:bookmarkEnd w:id="3"/>
    </w:p>
    <w:p w:rsidR="00D45DC2" w:rsidRPr="00467CBF" w:rsidRDefault="00D45DC2" w:rsidP="00D45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Расчет прогноза объемов отгруженных товаров собственного производства, выполненных работ и услуг собственными силами по промышленным видам деятельности на 2018-2020 годы включает оценку 2017 года и отчет за 2016 год.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При разработке прогноза были учтены особенности сложившейся структуры и объемов отгрузки промышленного производства в 2016 году. Оценка ожидаемых объемов отгруженных товаров в 2017 году осуществлена на основании ежемесячных статистических данных, а также информации, полученной непосредственно от хозяйствующих субъектов.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Промышленность играет существенную роль в экономике города Когалыма, от ее развития зависит наполняемость бюджета и решение многих социальных проблем в городе.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Промышленный комплекс города Когалыма представлен следующими основными отраслями промышленности: добыча полезных ископаемых, обрабатывающие производства, производство и распределение электроэнергии, газа и воды.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 городе Когалыме осуществляют свою деятельность более 40 крупных и средних промышленных предприятий.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Основные параметры развития промышленности были проведены по трем вариантам с учетом сложившейся динамики производства и результатов деятельности в 2016 году.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На среднесрочную перспективу 2018-2020 годов, по базовому варианту прогнозируется рост объемов промышленного сектора экономики города Когалыма, и соответственно индексов промышленного производства до </w:t>
      </w:r>
      <w:r w:rsidR="00350065">
        <w:rPr>
          <w:rFonts w:ascii="Times New Roman" w:hAnsi="Times New Roman" w:cs="Times New Roman"/>
          <w:sz w:val="26"/>
          <w:szCs w:val="26"/>
        </w:rPr>
        <w:t>100,35</w:t>
      </w:r>
      <w:r w:rsidR="00351886">
        <w:rPr>
          <w:rFonts w:ascii="Times New Roman" w:hAnsi="Times New Roman" w:cs="Times New Roman"/>
          <w:sz w:val="26"/>
          <w:szCs w:val="26"/>
        </w:rPr>
        <w:t>7</w:t>
      </w:r>
      <w:r w:rsidRPr="00467CBF">
        <w:rPr>
          <w:rFonts w:ascii="Times New Roman" w:hAnsi="Times New Roman" w:cs="Times New Roman"/>
          <w:sz w:val="26"/>
          <w:szCs w:val="26"/>
        </w:rPr>
        <w:t>% в 2020 году. По прогнозу в 2020 году объем отгруженной продукции промышленными предприятиями достигнет уровня 3</w:t>
      </w:r>
      <w:r w:rsidR="00351886">
        <w:rPr>
          <w:rFonts w:ascii="Times New Roman" w:hAnsi="Times New Roman" w:cs="Times New Roman"/>
          <w:sz w:val="26"/>
          <w:szCs w:val="26"/>
        </w:rPr>
        <w:t>7 951,0</w:t>
      </w:r>
      <w:r w:rsidR="004C5049">
        <w:rPr>
          <w:rFonts w:ascii="Times New Roman" w:hAnsi="Times New Roman" w:cs="Times New Roman"/>
          <w:sz w:val="26"/>
          <w:szCs w:val="26"/>
        </w:rPr>
        <w:t>3</w:t>
      </w:r>
      <w:r w:rsidRPr="00467CBF">
        <w:rPr>
          <w:rFonts w:ascii="Times New Roman" w:hAnsi="Times New Roman" w:cs="Times New Roman"/>
          <w:sz w:val="26"/>
          <w:szCs w:val="26"/>
        </w:rPr>
        <w:t xml:space="preserve"> млн. рублей по базовому варианту.</w:t>
      </w:r>
    </w:p>
    <w:p w:rsidR="00D45DC2" w:rsidRPr="00467CBF" w:rsidRDefault="00D45DC2" w:rsidP="0094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Первый вариант (консервативный) предполагает удовлетворительный путь развития промышленного сектора города Когалыма. На 2018 год индекс промышленного производства по данному варианту развития планируется в размере </w:t>
      </w:r>
      <w:r w:rsidR="009423FE">
        <w:rPr>
          <w:rFonts w:ascii="Times New Roman" w:hAnsi="Times New Roman" w:cs="Times New Roman"/>
          <w:sz w:val="26"/>
          <w:szCs w:val="26"/>
        </w:rPr>
        <w:t>98,98</w:t>
      </w:r>
      <w:r w:rsidRPr="00467CBF">
        <w:rPr>
          <w:rFonts w:ascii="Times New Roman" w:hAnsi="Times New Roman" w:cs="Times New Roman"/>
          <w:sz w:val="26"/>
          <w:szCs w:val="26"/>
        </w:rPr>
        <w:t xml:space="preserve">%, на 2019 год – </w:t>
      </w:r>
      <w:r w:rsidR="00350065">
        <w:rPr>
          <w:rFonts w:ascii="Times New Roman" w:hAnsi="Times New Roman" w:cs="Times New Roman"/>
          <w:sz w:val="26"/>
          <w:szCs w:val="26"/>
        </w:rPr>
        <w:t>99,48</w:t>
      </w:r>
      <w:r w:rsidRPr="00467CBF">
        <w:rPr>
          <w:rFonts w:ascii="Times New Roman" w:hAnsi="Times New Roman" w:cs="Times New Roman"/>
          <w:sz w:val="26"/>
          <w:szCs w:val="26"/>
        </w:rPr>
        <w:t xml:space="preserve">% и на 2020 год – </w:t>
      </w:r>
      <w:r w:rsidR="00350065">
        <w:rPr>
          <w:rFonts w:ascii="Times New Roman" w:hAnsi="Times New Roman" w:cs="Times New Roman"/>
          <w:sz w:val="26"/>
          <w:szCs w:val="26"/>
        </w:rPr>
        <w:t>100,19</w:t>
      </w:r>
      <w:r w:rsidRPr="00467CBF">
        <w:rPr>
          <w:rFonts w:ascii="Times New Roman" w:hAnsi="Times New Roman" w:cs="Times New Roman"/>
          <w:sz w:val="26"/>
          <w:szCs w:val="26"/>
        </w:rPr>
        <w:t>%.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В условиях базового варианта, более сдержанного, в 2018 году по отношению к 2017 году индекс производства составит </w:t>
      </w:r>
      <w:r w:rsidR="009423FE">
        <w:rPr>
          <w:rFonts w:ascii="Times New Roman" w:hAnsi="Times New Roman" w:cs="Times New Roman"/>
          <w:sz w:val="26"/>
          <w:szCs w:val="26"/>
        </w:rPr>
        <w:t>99,43</w:t>
      </w:r>
      <w:r w:rsidRPr="00467CBF">
        <w:rPr>
          <w:rFonts w:ascii="Times New Roman" w:hAnsi="Times New Roman" w:cs="Times New Roman"/>
          <w:sz w:val="26"/>
          <w:szCs w:val="26"/>
        </w:rPr>
        <w:t>%.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Третий вариант (целевой) ориентирует на благоприятный путь развития промышленного сектора города Когалыма. На 2018 год индекс промышленного производства по данному варианту развития планируется в размере </w:t>
      </w:r>
      <w:r w:rsidR="009423FE">
        <w:rPr>
          <w:rFonts w:ascii="Times New Roman" w:hAnsi="Times New Roman" w:cs="Times New Roman"/>
          <w:sz w:val="26"/>
          <w:szCs w:val="26"/>
        </w:rPr>
        <w:t>99,59</w:t>
      </w:r>
      <w:r w:rsidRPr="00467CBF">
        <w:rPr>
          <w:rFonts w:ascii="Times New Roman" w:hAnsi="Times New Roman" w:cs="Times New Roman"/>
          <w:sz w:val="26"/>
          <w:szCs w:val="26"/>
        </w:rPr>
        <w:t xml:space="preserve">%, на 2019 год – </w:t>
      </w:r>
      <w:r w:rsidR="009423FE">
        <w:rPr>
          <w:rFonts w:ascii="Times New Roman" w:hAnsi="Times New Roman" w:cs="Times New Roman"/>
          <w:sz w:val="26"/>
          <w:szCs w:val="26"/>
        </w:rPr>
        <w:t>100,05</w:t>
      </w:r>
      <w:r w:rsidRPr="00467CBF">
        <w:rPr>
          <w:rFonts w:ascii="Times New Roman" w:hAnsi="Times New Roman" w:cs="Times New Roman"/>
          <w:sz w:val="26"/>
          <w:szCs w:val="26"/>
        </w:rPr>
        <w:t xml:space="preserve">% и на 2020 год – </w:t>
      </w:r>
      <w:r w:rsidR="009423FE">
        <w:rPr>
          <w:rFonts w:ascii="Times New Roman" w:hAnsi="Times New Roman" w:cs="Times New Roman"/>
          <w:sz w:val="26"/>
          <w:szCs w:val="26"/>
        </w:rPr>
        <w:t>100,60</w:t>
      </w:r>
      <w:r w:rsidRPr="00467CBF">
        <w:rPr>
          <w:rFonts w:ascii="Times New Roman" w:hAnsi="Times New Roman" w:cs="Times New Roman"/>
          <w:sz w:val="26"/>
          <w:szCs w:val="26"/>
        </w:rPr>
        <w:t>%.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Общий объем отгруженных товаров собственного производства, выполненных работ и услуг собственными силами по полному кругу предприятий в 2017 году, согласно предварительной оценке, составит </w:t>
      </w:r>
      <w:r w:rsidR="009423FE">
        <w:rPr>
          <w:rFonts w:ascii="Times New Roman" w:hAnsi="Times New Roman" w:cs="Times New Roman"/>
          <w:sz w:val="26"/>
          <w:szCs w:val="26"/>
        </w:rPr>
        <w:t>33 972,42</w:t>
      </w:r>
      <w:r w:rsidRPr="00467CBF">
        <w:rPr>
          <w:rFonts w:ascii="Times New Roman" w:hAnsi="Times New Roman" w:cs="Times New Roman"/>
          <w:sz w:val="26"/>
          <w:szCs w:val="26"/>
        </w:rPr>
        <w:t xml:space="preserve"> млн. рублей и увеличится в действующих ценах к 2016 году на </w:t>
      </w:r>
      <w:r w:rsidR="003C3FD1">
        <w:rPr>
          <w:rFonts w:ascii="Times New Roman" w:hAnsi="Times New Roman" w:cs="Times New Roman"/>
          <w:sz w:val="26"/>
          <w:szCs w:val="26"/>
        </w:rPr>
        <w:t>17,2</w:t>
      </w:r>
      <w:r w:rsidRPr="00467CBF">
        <w:rPr>
          <w:rFonts w:ascii="Times New Roman" w:hAnsi="Times New Roman" w:cs="Times New Roman"/>
          <w:sz w:val="26"/>
          <w:szCs w:val="26"/>
        </w:rPr>
        <w:t xml:space="preserve">%. При этом темп роста в сопоставимых ценах составит </w:t>
      </w:r>
      <w:r w:rsidR="009423FE">
        <w:rPr>
          <w:rFonts w:ascii="Times New Roman" w:hAnsi="Times New Roman" w:cs="Times New Roman"/>
          <w:sz w:val="26"/>
          <w:szCs w:val="26"/>
        </w:rPr>
        <w:t>110,29</w:t>
      </w:r>
      <w:r w:rsidRPr="00467CBF">
        <w:rPr>
          <w:rFonts w:ascii="Times New Roman" w:hAnsi="Times New Roman" w:cs="Times New Roman"/>
          <w:sz w:val="26"/>
          <w:szCs w:val="26"/>
        </w:rPr>
        <w:t>%.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Наибольшую долю товарной продукции – </w:t>
      </w:r>
      <w:r w:rsidRPr="00EF5910">
        <w:rPr>
          <w:rFonts w:ascii="Times New Roman" w:hAnsi="Times New Roman" w:cs="Times New Roman"/>
          <w:sz w:val="26"/>
          <w:szCs w:val="26"/>
        </w:rPr>
        <w:t>32,</w:t>
      </w:r>
      <w:r w:rsidR="00EF5910">
        <w:rPr>
          <w:rFonts w:ascii="Times New Roman" w:hAnsi="Times New Roman" w:cs="Times New Roman"/>
          <w:sz w:val="26"/>
          <w:szCs w:val="26"/>
        </w:rPr>
        <w:t>9</w:t>
      </w:r>
      <w:r w:rsidRPr="00EF5910">
        <w:rPr>
          <w:rFonts w:ascii="Times New Roman" w:hAnsi="Times New Roman" w:cs="Times New Roman"/>
          <w:sz w:val="26"/>
          <w:szCs w:val="26"/>
        </w:rPr>
        <w:t>%</w:t>
      </w:r>
      <w:r w:rsidRPr="00467CBF">
        <w:rPr>
          <w:rFonts w:ascii="Times New Roman" w:hAnsi="Times New Roman" w:cs="Times New Roman"/>
          <w:sz w:val="26"/>
          <w:szCs w:val="26"/>
        </w:rPr>
        <w:t xml:space="preserve"> от общего объема отгруженных товаров</w:t>
      </w:r>
      <w:r w:rsidR="00EF5910">
        <w:rPr>
          <w:rFonts w:ascii="Times New Roman" w:hAnsi="Times New Roman" w:cs="Times New Roman"/>
          <w:sz w:val="26"/>
          <w:szCs w:val="26"/>
        </w:rPr>
        <w:t xml:space="preserve"> по итогам 2016 года</w:t>
      </w:r>
      <w:r w:rsidRPr="00467CBF">
        <w:rPr>
          <w:rFonts w:ascii="Times New Roman" w:hAnsi="Times New Roman" w:cs="Times New Roman"/>
          <w:sz w:val="26"/>
          <w:szCs w:val="26"/>
        </w:rPr>
        <w:t xml:space="preserve"> составля</w:t>
      </w:r>
      <w:r w:rsidR="004C5049">
        <w:rPr>
          <w:rFonts w:ascii="Times New Roman" w:hAnsi="Times New Roman" w:cs="Times New Roman"/>
          <w:sz w:val="26"/>
          <w:szCs w:val="26"/>
        </w:rPr>
        <w:t>ли</w:t>
      </w:r>
      <w:r w:rsidRPr="00467CBF">
        <w:rPr>
          <w:rFonts w:ascii="Times New Roman" w:hAnsi="Times New Roman" w:cs="Times New Roman"/>
          <w:sz w:val="26"/>
          <w:szCs w:val="26"/>
        </w:rPr>
        <w:t xml:space="preserve"> предприятия добычи </w:t>
      </w:r>
      <w:r w:rsidRPr="00467CBF">
        <w:rPr>
          <w:rFonts w:ascii="Times New Roman" w:hAnsi="Times New Roman" w:cs="Times New Roman"/>
          <w:sz w:val="26"/>
          <w:szCs w:val="26"/>
        </w:rPr>
        <w:lastRenderedPageBreak/>
        <w:t>полезных ископаемых. Индекс производства по данному виду экономической деятельности составил 93,</w:t>
      </w:r>
      <w:r w:rsidR="00E65546">
        <w:rPr>
          <w:rFonts w:ascii="Times New Roman" w:hAnsi="Times New Roman" w:cs="Times New Roman"/>
          <w:sz w:val="26"/>
          <w:szCs w:val="26"/>
        </w:rPr>
        <w:t>19</w:t>
      </w:r>
      <w:r w:rsidRPr="00467CBF">
        <w:rPr>
          <w:rFonts w:ascii="Times New Roman" w:hAnsi="Times New Roman" w:cs="Times New Roman"/>
          <w:sz w:val="26"/>
          <w:szCs w:val="26"/>
        </w:rPr>
        <w:t xml:space="preserve">%. По оценке в 2017 году объем отгруженных товаров, выполненных работ и услуг, связанных с добычей нефти и нефтяного природного газа, составит </w:t>
      </w:r>
      <w:r w:rsidR="00EF5910">
        <w:rPr>
          <w:rFonts w:ascii="Times New Roman" w:hAnsi="Times New Roman" w:cs="Times New Roman"/>
          <w:sz w:val="26"/>
          <w:szCs w:val="26"/>
        </w:rPr>
        <w:t>11 052,5</w:t>
      </w:r>
      <w:r w:rsidR="00E65546">
        <w:rPr>
          <w:rFonts w:ascii="Times New Roman" w:hAnsi="Times New Roman" w:cs="Times New Roman"/>
          <w:sz w:val="26"/>
          <w:szCs w:val="26"/>
        </w:rPr>
        <w:t>0</w:t>
      </w:r>
      <w:r w:rsidRPr="00467CBF">
        <w:rPr>
          <w:rFonts w:ascii="Times New Roman" w:hAnsi="Times New Roman" w:cs="Times New Roman"/>
          <w:sz w:val="26"/>
          <w:szCs w:val="26"/>
        </w:rPr>
        <w:t xml:space="preserve"> млн. рублей, или </w:t>
      </w:r>
      <w:r w:rsidR="00EF5910">
        <w:rPr>
          <w:rFonts w:ascii="Times New Roman" w:hAnsi="Times New Roman" w:cs="Times New Roman"/>
          <w:sz w:val="26"/>
          <w:szCs w:val="26"/>
        </w:rPr>
        <w:t>104,56</w:t>
      </w:r>
      <w:r w:rsidRPr="00467CBF">
        <w:rPr>
          <w:rFonts w:ascii="Times New Roman" w:hAnsi="Times New Roman" w:cs="Times New Roman"/>
          <w:sz w:val="26"/>
          <w:szCs w:val="26"/>
        </w:rPr>
        <w:t>% к предыдущему году в сопоставимых ценах. В прогнозном периоде темп роста в сопоставимых ценах отгруженных товаров, выполненных работ и услуг по базовому варианту, составит: 9</w:t>
      </w:r>
      <w:r w:rsidR="00EF5910">
        <w:rPr>
          <w:rFonts w:ascii="Times New Roman" w:hAnsi="Times New Roman" w:cs="Times New Roman"/>
          <w:sz w:val="26"/>
          <w:szCs w:val="26"/>
        </w:rPr>
        <w:t>9,60</w:t>
      </w:r>
      <w:r w:rsidRPr="00467CBF">
        <w:rPr>
          <w:rFonts w:ascii="Times New Roman" w:hAnsi="Times New Roman" w:cs="Times New Roman"/>
          <w:sz w:val="26"/>
          <w:szCs w:val="26"/>
        </w:rPr>
        <w:t>% в 2018 году, 9</w:t>
      </w:r>
      <w:r w:rsidR="00EF5910">
        <w:rPr>
          <w:rFonts w:ascii="Times New Roman" w:hAnsi="Times New Roman" w:cs="Times New Roman"/>
          <w:sz w:val="26"/>
          <w:szCs w:val="26"/>
        </w:rPr>
        <w:t>9,80</w:t>
      </w:r>
      <w:r w:rsidRPr="00467CBF">
        <w:rPr>
          <w:rFonts w:ascii="Times New Roman" w:hAnsi="Times New Roman" w:cs="Times New Roman"/>
          <w:sz w:val="26"/>
          <w:szCs w:val="26"/>
        </w:rPr>
        <w:t>% в 2019 году и 9</w:t>
      </w:r>
      <w:r w:rsidR="00EF5910">
        <w:rPr>
          <w:rFonts w:ascii="Times New Roman" w:hAnsi="Times New Roman" w:cs="Times New Roman"/>
          <w:sz w:val="26"/>
          <w:szCs w:val="26"/>
        </w:rPr>
        <w:t>9,86</w:t>
      </w:r>
      <w:r w:rsidRPr="00467CBF">
        <w:rPr>
          <w:rFonts w:ascii="Times New Roman" w:hAnsi="Times New Roman" w:cs="Times New Roman"/>
          <w:sz w:val="26"/>
          <w:szCs w:val="26"/>
        </w:rPr>
        <w:t>% в 2020 году. Наиболее крупным предприятием, осуществляющим деятельность в этой отрасли, является общество с ограниченной ответственностью «ЛУКОЙЛ – Западная Сибирь». Также в городе Когалыме по виду деятельности «Предоставление прочих услуг, связанных с добычей нефти и газа» оказывают услуги такие предприятия как: закрытое акционерное общество «ЛУКОЙЛ – АИК», общество с ограниченной ответственность «АРГОС», общество с ограниченной ответственностью «Центр научно-исследовательских и производственных работ» и другие предприятия.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 2016 году объем добычи нефти и газа составил 187,8 тыс. тонн и 12,9 млн. куб. м соответственно. По оценке, в 2017 году ожидается, что добыча нефти составит 187,80 тыс. тонн и добыча газа – 13,0 млн. куб. м. В прогнозном периоде в 2020 году добыча нефти составит 190,00 тыс. тонн по базовому варианту. Добыча газа ожидается в объеме 13,0 млн. куб. м по базовому варианту в 2020 году.</w:t>
      </w:r>
    </w:p>
    <w:p w:rsidR="00D45DC2" w:rsidRPr="00467CBF" w:rsidRDefault="00D45DC2" w:rsidP="00D45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DC2" w:rsidRPr="00467CBF" w:rsidRDefault="00D45DC2" w:rsidP="00D45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CBF">
        <w:rPr>
          <w:rFonts w:ascii="Times New Roman" w:hAnsi="Times New Roman" w:cs="Times New Roman"/>
          <w:b/>
          <w:sz w:val="26"/>
          <w:szCs w:val="26"/>
        </w:rPr>
        <w:t>Объем отгруженных товаров собственного производства, выполненных работ и услуг собственными силами за 2016 год, млн. рублей, %</w:t>
      </w:r>
    </w:p>
    <w:p w:rsidR="00D45DC2" w:rsidRPr="00467CBF" w:rsidRDefault="00D45DC2" w:rsidP="00D45D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CED4E9C" wp14:editId="06ED5CAA">
            <wp:extent cx="6086475" cy="2800350"/>
            <wp:effectExtent l="19050" t="0" r="0" b="0"/>
            <wp:docPr id="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На долю данного вида деятельности «Производство и распределение электроэнергии, газа и воды» приходится 33,7% от общего объема отгруженных товаров собственного производства, выполненных работ и услуг собственными силами.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Объем отгруженных товаров собственного производства, выполненных работ и услуг своими силами в рамках вида деятельности «Производство и распределение электроэнергии, газа и воды» в 2016 году уменьшился на 129,52 млн. рублей. Индекс производства по данному виду экономической деятельности составил 95,54%. В 2017 году ожидается рост объема отгруженных товаров до </w:t>
      </w:r>
      <w:r w:rsidRPr="00467CBF">
        <w:rPr>
          <w:rFonts w:ascii="Times New Roman" w:hAnsi="Times New Roman" w:cs="Times New Roman"/>
          <w:sz w:val="26"/>
          <w:szCs w:val="26"/>
        </w:rPr>
        <w:lastRenderedPageBreak/>
        <w:t>10</w:t>
      </w:r>
      <w:r w:rsidR="00B02D0B">
        <w:rPr>
          <w:rFonts w:ascii="Times New Roman" w:hAnsi="Times New Roman" w:cs="Times New Roman"/>
          <w:sz w:val="26"/>
          <w:szCs w:val="26"/>
        </w:rPr>
        <w:t> </w:t>
      </w:r>
      <w:r w:rsidRPr="00467CBF">
        <w:rPr>
          <w:rFonts w:ascii="Times New Roman" w:hAnsi="Times New Roman" w:cs="Times New Roman"/>
          <w:sz w:val="26"/>
          <w:szCs w:val="26"/>
        </w:rPr>
        <w:t>15</w:t>
      </w:r>
      <w:r w:rsidR="00B02D0B">
        <w:rPr>
          <w:rFonts w:ascii="Times New Roman" w:hAnsi="Times New Roman" w:cs="Times New Roman"/>
          <w:sz w:val="26"/>
          <w:szCs w:val="26"/>
        </w:rPr>
        <w:t>2,</w:t>
      </w:r>
      <w:r w:rsidR="00E65546">
        <w:rPr>
          <w:rFonts w:ascii="Times New Roman" w:hAnsi="Times New Roman" w:cs="Times New Roman"/>
          <w:sz w:val="26"/>
          <w:szCs w:val="26"/>
        </w:rPr>
        <w:t>75</w:t>
      </w:r>
      <w:r w:rsidRPr="00467CBF">
        <w:rPr>
          <w:rFonts w:ascii="Times New Roman" w:hAnsi="Times New Roman" w:cs="Times New Roman"/>
          <w:sz w:val="26"/>
          <w:szCs w:val="26"/>
        </w:rPr>
        <w:t xml:space="preserve"> млн. рублей, при этом индекс производства составит </w:t>
      </w:r>
      <w:r w:rsidRPr="00F445B2">
        <w:rPr>
          <w:rFonts w:ascii="Times New Roman" w:hAnsi="Times New Roman" w:cs="Times New Roman"/>
          <w:sz w:val="26"/>
          <w:szCs w:val="26"/>
        </w:rPr>
        <w:t>10</w:t>
      </w:r>
      <w:r w:rsidR="00F445B2" w:rsidRPr="00F445B2">
        <w:rPr>
          <w:rFonts w:ascii="Times New Roman" w:hAnsi="Times New Roman" w:cs="Times New Roman"/>
          <w:sz w:val="26"/>
          <w:szCs w:val="26"/>
        </w:rPr>
        <w:t>0,50</w:t>
      </w:r>
      <w:r w:rsidRPr="00F445B2">
        <w:rPr>
          <w:rFonts w:ascii="Times New Roman" w:hAnsi="Times New Roman" w:cs="Times New Roman"/>
          <w:sz w:val="26"/>
          <w:szCs w:val="26"/>
        </w:rPr>
        <w:t>%.</w:t>
      </w:r>
      <w:r w:rsidRPr="00467CBF">
        <w:rPr>
          <w:rFonts w:ascii="Times New Roman" w:hAnsi="Times New Roman" w:cs="Times New Roman"/>
          <w:sz w:val="26"/>
          <w:szCs w:val="26"/>
        </w:rPr>
        <w:t xml:space="preserve"> Крупными предприятиями, осуществляющими деятельность в данной сфере в городе Когалыме, являются акционерное общество «Тюменьэнерго» и общество с ограниченной ответственностью «ЛУКОЙЛ Энергосети». В прогнозном периоде индекс производства по данному виду деятельности к 2020 году у</w:t>
      </w:r>
      <w:r w:rsidR="0010102E">
        <w:rPr>
          <w:rFonts w:ascii="Times New Roman" w:hAnsi="Times New Roman" w:cs="Times New Roman"/>
          <w:sz w:val="26"/>
          <w:szCs w:val="26"/>
        </w:rPr>
        <w:t>меньшится</w:t>
      </w:r>
      <w:r w:rsidR="00F445B2">
        <w:rPr>
          <w:rFonts w:ascii="Times New Roman" w:hAnsi="Times New Roman" w:cs="Times New Roman"/>
          <w:sz w:val="26"/>
          <w:szCs w:val="26"/>
        </w:rPr>
        <w:t xml:space="preserve"> </w:t>
      </w:r>
      <w:r w:rsidRPr="00467CBF">
        <w:rPr>
          <w:rFonts w:ascii="Times New Roman" w:hAnsi="Times New Roman" w:cs="Times New Roman"/>
          <w:sz w:val="26"/>
          <w:szCs w:val="26"/>
        </w:rPr>
        <w:t>по консервативному варианту на 0,</w:t>
      </w:r>
      <w:r w:rsidR="00F445B2">
        <w:rPr>
          <w:rFonts w:ascii="Times New Roman" w:hAnsi="Times New Roman" w:cs="Times New Roman"/>
          <w:sz w:val="26"/>
          <w:szCs w:val="26"/>
        </w:rPr>
        <w:t>2</w:t>
      </w:r>
      <w:r w:rsidRPr="00467CBF">
        <w:rPr>
          <w:rFonts w:ascii="Times New Roman" w:hAnsi="Times New Roman" w:cs="Times New Roman"/>
          <w:sz w:val="26"/>
          <w:szCs w:val="26"/>
        </w:rPr>
        <w:t xml:space="preserve">% и </w:t>
      </w:r>
      <w:r w:rsidR="00F445B2">
        <w:rPr>
          <w:rFonts w:ascii="Times New Roman" w:hAnsi="Times New Roman" w:cs="Times New Roman"/>
          <w:sz w:val="26"/>
          <w:szCs w:val="26"/>
        </w:rPr>
        <w:t xml:space="preserve">останется на прежнем уровне по базовому и целевому </w:t>
      </w:r>
      <w:r w:rsidRPr="00467CBF">
        <w:rPr>
          <w:rFonts w:ascii="Times New Roman" w:hAnsi="Times New Roman" w:cs="Times New Roman"/>
          <w:sz w:val="26"/>
          <w:szCs w:val="26"/>
        </w:rPr>
        <w:t>вариант</w:t>
      </w:r>
      <w:r w:rsidR="00F445B2">
        <w:rPr>
          <w:rFonts w:ascii="Times New Roman" w:hAnsi="Times New Roman" w:cs="Times New Roman"/>
          <w:sz w:val="26"/>
          <w:szCs w:val="26"/>
        </w:rPr>
        <w:t>ам</w:t>
      </w:r>
      <w:r w:rsidRPr="00467CBF">
        <w:rPr>
          <w:rFonts w:ascii="Times New Roman" w:hAnsi="Times New Roman" w:cs="Times New Roman"/>
          <w:sz w:val="26"/>
          <w:szCs w:val="26"/>
        </w:rPr>
        <w:t>. В соответствии со спецификой данной отрасли рост показателя объемов отгрузки планируется в основном за счет увеличения количества потребителей энергоресурсов</w:t>
      </w:r>
      <w:r w:rsidRPr="00467CBF">
        <w:rPr>
          <w:rFonts w:ascii="Times New Roman" w:hAnsi="Times New Roman" w:cs="Times New Roman"/>
          <w:bCs/>
          <w:sz w:val="26"/>
          <w:szCs w:val="26"/>
        </w:rPr>
        <w:t>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Выпуск товаров собственного производства, выполненных работ и услуг собственными силами предприятиями, входящими в раздел «Обрабатывающие производства» в 2016 году, составил 9 662,76 млн. рублей или 115,46% к показателю 2015 года в сопоставимых ценах. Доля данного вида деятельности значительно возросла и составила в 2016 году 33,3% от общего объема отгруженных товаров собственного производства, выполненных работ и услуг собственными силами.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Наибольший удельный вес (в 2015 году - 71%, в 2016 году – 70%) в общем объеме обрабатывающего производства, приходится на предприятия, вид деятельности которых «Производство кокса и нефтепродуктов». В городе Когалыме действует нефтеперерабатывающий завод, который осуществляет выпуск бензина, топлива реактивного керосинового, а также дизельного топлива. 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На мини-нефтеперерабатывающем заводе (далее - мини-НПЗ) Дружного месторождения, мощностью по переработке нефти 350 000 тонн в год, провели серию высокотехнологичных реконструкций и перевооружений, построили установку изомеризации. Когалымский мини-НПЗ выпускает дизельные топлива («ЕВРО» летнее, зимнее, арктическое) и автомобильные бензины (АИ-92-К5, АИ-95-К5), соответствующие требованиям класса 5 Технического регламента Таможенного союза ТР ТС 013/2011 и топливо для реактивных двигателей марки ТС-1. Топливом мини-НПЗ ТПП «Когалымнефтегаз» заправляются автомобили региона, авиационные суда когалымского и сургутского аэропортов.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Объем отгруженных товаров, выполненных работ и услуг данного вида деятельности в 2016 году составил 6 749,17 млн. рублей, что на </w:t>
      </w:r>
      <w:r w:rsidR="00E65546">
        <w:rPr>
          <w:rFonts w:ascii="Times New Roman" w:hAnsi="Times New Roman" w:cs="Times New Roman"/>
          <w:sz w:val="26"/>
          <w:szCs w:val="26"/>
        </w:rPr>
        <w:t>10,0</w:t>
      </w:r>
      <w:r w:rsidRPr="00467CBF">
        <w:rPr>
          <w:rFonts w:ascii="Times New Roman" w:hAnsi="Times New Roman" w:cs="Times New Roman"/>
          <w:sz w:val="26"/>
          <w:szCs w:val="26"/>
        </w:rPr>
        <w:t>% превышает уровень 2015 года. Данный рост объемов производства в стоимостном выражении можно объяснить изменением ценовой конъюнктуры.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 2017 году индекс производства по данному виду промышленного производства составит 1</w:t>
      </w:r>
      <w:r w:rsidR="008C5EDA">
        <w:rPr>
          <w:rFonts w:ascii="Times New Roman" w:hAnsi="Times New Roman" w:cs="Times New Roman"/>
          <w:sz w:val="26"/>
          <w:szCs w:val="26"/>
        </w:rPr>
        <w:t>22,48</w:t>
      </w:r>
      <w:r w:rsidRPr="00467CBF">
        <w:rPr>
          <w:rFonts w:ascii="Times New Roman" w:hAnsi="Times New Roman" w:cs="Times New Roman"/>
          <w:sz w:val="26"/>
          <w:szCs w:val="26"/>
        </w:rPr>
        <w:t>%. В дальнейшем индекс производства по консервативному варианту от 101,90% в 2018 году до 100,6% в 2020 году, по базовому варианту ожидается от 101,92% в 2018 году до 100,80% в 2020 году; по целевому варианту – от 102,70% до 102,50% соответственно.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Производство и реализацию химреагентов в городе Когалыме осуществляет общество с ограниченной ответственностью «Когалымский завод химреагентов» (далее – предприятие, ООО «КЗХ»). В 2016 году объем отгруженных товаров собственного производства, выполненных работ и услуг собственными силами предприятий по виду деятельности «Химическое производство» увеличился по отношению к 2015 году и составил 1 008,93 млн. рублей или 113,21% в </w:t>
      </w:r>
      <w:r w:rsidRPr="00467CBF">
        <w:rPr>
          <w:rFonts w:ascii="Times New Roman" w:hAnsi="Times New Roman" w:cs="Times New Roman"/>
          <w:sz w:val="26"/>
          <w:szCs w:val="26"/>
        </w:rPr>
        <w:lastRenderedPageBreak/>
        <w:t xml:space="preserve">сопоставимых ценах. ООО «КЗХ» предоставляет услуги по разработке, внедрению и производству химических реагентов для добычи, подготовки, транспортировки, переработки нефти, защиты нефтепромыслового оборудования и трубопроводов от коррозии и отложений различной природы, повышения нефтеотдачи пластов. Увеличение объемов производства в 2016 году можно объяснить увеличением количества заключенных договоров на вышеперечисленные услуги. В 2017 году объем производства </w:t>
      </w:r>
      <w:r w:rsidR="008C5EDA">
        <w:rPr>
          <w:rFonts w:ascii="Times New Roman" w:hAnsi="Times New Roman" w:cs="Times New Roman"/>
          <w:sz w:val="26"/>
          <w:szCs w:val="26"/>
        </w:rPr>
        <w:t>увеличится</w:t>
      </w:r>
      <w:r w:rsidRPr="00467CBF">
        <w:rPr>
          <w:rFonts w:ascii="Times New Roman" w:hAnsi="Times New Roman" w:cs="Times New Roman"/>
          <w:sz w:val="26"/>
          <w:szCs w:val="26"/>
        </w:rPr>
        <w:t xml:space="preserve"> и составит 1</w:t>
      </w:r>
      <w:r w:rsidR="008C5EDA">
        <w:rPr>
          <w:rFonts w:ascii="Times New Roman" w:hAnsi="Times New Roman" w:cs="Times New Roman"/>
          <w:sz w:val="26"/>
          <w:szCs w:val="26"/>
        </w:rPr>
        <w:t> 210,71</w:t>
      </w:r>
      <w:r w:rsidRPr="00467CBF">
        <w:rPr>
          <w:rFonts w:ascii="Times New Roman" w:hAnsi="Times New Roman" w:cs="Times New Roman"/>
          <w:sz w:val="26"/>
          <w:szCs w:val="26"/>
        </w:rPr>
        <w:t xml:space="preserve"> млн. рублей, индекс производства – </w:t>
      </w:r>
      <w:r w:rsidR="008C5EDA">
        <w:rPr>
          <w:rFonts w:ascii="Times New Roman" w:hAnsi="Times New Roman" w:cs="Times New Roman"/>
          <w:sz w:val="26"/>
          <w:szCs w:val="26"/>
        </w:rPr>
        <w:t>117,65</w:t>
      </w:r>
      <w:r w:rsidRPr="00467CBF">
        <w:rPr>
          <w:rFonts w:ascii="Times New Roman" w:hAnsi="Times New Roman" w:cs="Times New Roman"/>
          <w:sz w:val="26"/>
          <w:szCs w:val="26"/>
        </w:rPr>
        <w:t>%. По прогнозу ООО «КЗХ» в 2018-2020 годах планируется наращивать объемы производства продукции. К 2020 году объем отгруженных товаров химического производства по базовому варианту составит 1</w:t>
      </w:r>
      <w:r w:rsidR="008C5EDA">
        <w:rPr>
          <w:rFonts w:ascii="Times New Roman" w:hAnsi="Times New Roman" w:cs="Times New Roman"/>
          <w:sz w:val="26"/>
          <w:szCs w:val="26"/>
        </w:rPr>
        <w:t> 365,71</w:t>
      </w:r>
      <w:r w:rsidRPr="00467CBF">
        <w:rPr>
          <w:rFonts w:ascii="Times New Roman" w:hAnsi="Times New Roman" w:cs="Times New Roman"/>
          <w:sz w:val="26"/>
          <w:szCs w:val="26"/>
        </w:rPr>
        <w:t xml:space="preserve"> млн. рублей, индекс производства составит 100,0%.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Объем отгруженных товаров собственного производства по виду деятельности «Производство электрооборудования, электронного и оптического оборудования» в 2016 году, составил 990,61 млн. рублей, индекс производства – 122,85%. Данное увеличение связано с увеличением объема предоставляемых услуг по монтажу, ремонту, техническому обслуживанию и перемотке электродвигателей, генераторов и трансформаторов. Одним из крупных предприятий данного вида деятельности является общество с ограниченной ответственностью «ЛУКОЙЛ ЭПУ Сервис». На базе данного предприятия была проведена реконструкция завода по изготовлению стеклопластиковых труб с изменением целевого назначения объекта на «Завод по производству вентильных двигателей». Запуск завода произведен в сентябре 2016 года, производственные мощности завода рассчитаны для выпуска 5 000 вентильных двигателей в год. В связи с этим, в прогнозном периоде 2018 - 2020 годов ожидается рост индекса объемов производства по данному виду деятельности с </w:t>
      </w:r>
      <w:r w:rsidR="00E65546">
        <w:rPr>
          <w:rFonts w:ascii="Times New Roman" w:hAnsi="Times New Roman" w:cs="Times New Roman"/>
          <w:sz w:val="26"/>
          <w:szCs w:val="26"/>
        </w:rPr>
        <w:t>104,80</w:t>
      </w:r>
      <w:r w:rsidRPr="00467CBF">
        <w:rPr>
          <w:rFonts w:ascii="Times New Roman" w:hAnsi="Times New Roman" w:cs="Times New Roman"/>
          <w:sz w:val="26"/>
          <w:szCs w:val="26"/>
        </w:rPr>
        <w:t xml:space="preserve">% по целевому варианту в 2018 году, до </w:t>
      </w:r>
      <w:r w:rsidR="000C40D9">
        <w:rPr>
          <w:rFonts w:ascii="Times New Roman" w:hAnsi="Times New Roman" w:cs="Times New Roman"/>
          <w:sz w:val="26"/>
          <w:szCs w:val="26"/>
        </w:rPr>
        <w:t>106,40</w:t>
      </w:r>
      <w:r w:rsidRPr="00467CBF">
        <w:rPr>
          <w:rFonts w:ascii="Times New Roman" w:hAnsi="Times New Roman" w:cs="Times New Roman"/>
          <w:sz w:val="26"/>
          <w:szCs w:val="26"/>
        </w:rPr>
        <w:t>% в 2020 году, по базовому варианту рост наблюдается в 201</w:t>
      </w:r>
      <w:r w:rsidR="000C40D9">
        <w:rPr>
          <w:rFonts w:ascii="Times New Roman" w:hAnsi="Times New Roman" w:cs="Times New Roman"/>
          <w:sz w:val="26"/>
          <w:szCs w:val="26"/>
        </w:rPr>
        <w:t>8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</w:t>
      </w:r>
      <w:r w:rsidR="000C40D9">
        <w:rPr>
          <w:rFonts w:ascii="Times New Roman" w:hAnsi="Times New Roman" w:cs="Times New Roman"/>
          <w:sz w:val="26"/>
          <w:szCs w:val="26"/>
        </w:rPr>
        <w:t>104,20</w:t>
      </w:r>
      <w:r w:rsidRPr="00467CBF">
        <w:rPr>
          <w:rFonts w:ascii="Times New Roman" w:hAnsi="Times New Roman" w:cs="Times New Roman"/>
          <w:sz w:val="26"/>
          <w:szCs w:val="26"/>
        </w:rPr>
        <w:t xml:space="preserve">% и 2020 годы на уровне </w:t>
      </w:r>
      <w:r w:rsidR="000C40D9">
        <w:rPr>
          <w:rFonts w:ascii="Times New Roman" w:hAnsi="Times New Roman" w:cs="Times New Roman"/>
          <w:sz w:val="26"/>
          <w:szCs w:val="26"/>
        </w:rPr>
        <w:t>104,50</w:t>
      </w:r>
      <w:r w:rsidRPr="00467CBF">
        <w:rPr>
          <w:rFonts w:ascii="Times New Roman" w:hAnsi="Times New Roman" w:cs="Times New Roman"/>
          <w:sz w:val="26"/>
          <w:szCs w:val="26"/>
        </w:rPr>
        <w:t>%.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Предприятия вида деятельности «Производство машин и оборудования» предоставляют услуги по монтажу, ремонту и техническому обслуживанию машин и оборудования. В 2017 году объем предоставленных услуг ожидается в размере </w:t>
      </w:r>
      <w:r w:rsidR="009C58A5">
        <w:rPr>
          <w:rFonts w:ascii="Times New Roman" w:hAnsi="Times New Roman" w:cs="Times New Roman"/>
          <w:sz w:val="26"/>
          <w:szCs w:val="26"/>
        </w:rPr>
        <w:t>809,94</w:t>
      </w:r>
      <w:r w:rsidRPr="00467CBF">
        <w:rPr>
          <w:rFonts w:ascii="Times New Roman" w:hAnsi="Times New Roman" w:cs="Times New Roman"/>
          <w:sz w:val="26"/>
          <w:szCs w:val="26"/>
        </w:rPr>
        <w:t xml:space="preserve"> млн. рублей, по сравнению с предыдущим годом темп роста промышленного производства составит </w:t>
      </w:r>
      <w:r w:rsidR="009C58A5">
        <w:rPr>
          <w:rFonts w:ascii="Times New Roman" w:hAnsi="Times New Roman" w:cs="Times New Roman"/>
          <w:sz w:val="26"/>
          <w:szCs w:val="26"/>
        </w:rPr>
        <w:t>131,02</w:t>
      </w:r>
      <w:r w:rsidRPr="00467CBF">
        <w:rPr>
          <w:rFonts w:ascii="Times New Roman" w:hAnsi="Times New Roman" w:cs="Times New Roman"/>
          <w:sz w:val="26"/>
          <w:szCs w:val="26"/>
        </w:rPr>
        <w:t>%. Одним из предприятий данного вида деятельности является общество с ограниченной ответственностью «Когалым НПО-Сервис» (далее – предприятие ООО «Когалым НПО-Сервис»).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Кроме того, предприятие ООО «Когалым НПО-Сервис» является единственным предприятием, осуществляющим деятельность «Металлургическое производство и производство готовых металлических изделий», которое производит изделия для ремонта нефтепромыслового оборудования. По данным предприятия, в 2017 году будет отгружено товаров данного вида деятельности на сумму 13</w:t>
      </w:r>
      <w:r w:rsidR="009C58A5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>,</w:t>
      </w:r>
      <w:r w:rsidR="009C58A5">
        <w:rPr>
          <w:rFonts w:ascii="Times New Roman" w:hAnsi="Times New Roman" w:cs="Times New Roman"/>
          <w:sz w:val="26"/>
          <w:szCs w:val="26"/>
        </w:rPr>
        <w:t>14</w:t>
      </w:r>
      <w:r w:rsidRPr="00467CBF">
        <w:rPr>
          <w:rFonts w:ascii="Times New Roman" w:hAnsi="Times New Roman" w:cs="Times New Roman"/>
          <w:sz w:val="26"/>
          <w:szCs w:val="26"/>
        </w:rPr>
        <w:t xml:space="preserve"> млн. рублей. Индекс промышленного производства составит 10</w:t>
      </w:r>
      <w:r w:rsidR="009C58A5">
        <w:rPr>
          <w:rFonts w:ascii="Times New Roman" w:hAnsi="Times New Roman" w:cs="Times New Roman"/>
          <w:sz w:val="26"/>
          <w:szCs w:val="26"/>
        </w:rPr>
        <w:t>4,34</w:t>
      </w:r>
      <w:r w:rsidRPr="00467CBF">
        <w:rPr>
          <w:rFonts w:ascii="Times New Roman" w:hAnsi="Times New Roman" w:cs="Times New Roman"/>
          <w:sz w:val="26"/>
          <w:szCs w:val="26"/>
        </w:rPr>
        <w:t>%. В прогнозном периоде в условиях базового варианта ожидается незначительное падение индекса производства от 102,29% до 101,52%.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7CB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По виду деятельности «Производство пищевых продуктов, включая напитки, и табака» на территории города Когалыма производится хлеб и хлебобулочные изделия. Объем отгруженных товаров в 2017 году ожидается в размере 11</w:t>
      </w:r>
      <w:r w:rsidR="009C58A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7</w:t>
      </w:r>
      <w:r w:rsidRPr="00467CB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</w:t>
      </w:r>
      <w:r w:rsidR="009C58A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15</w:t>
      </w:r>
      <w:r w:rsidRPr="00467CB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млн. </w:t>
      </w:r>
      <w:r w:rsidRPr="00467CB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lastRenderedPageBreak/>
        <w:t>рублей, индекс промышленного производства составит 10</w:t>
      </w:r>
      <w:r w:rsidR="000C40D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3,40</w:t>
      </w:r>
      <w:r w:rsidRPr="00467CB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%. </w:t>
      </w:r>
      <w:r w:rsidRPr="00CC336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В прогнозируемом периоде предусматривается рост объемов производства пищевых продуктов по базовому варианту к 2020 году с </w:t>
      </w:r>
      <w:r w:rsidR="000C40D9" w:rsidRPr="00CC336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103,50</w:t>
      </w:r>
      <w:r w:rsidRPr="00CC336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0 до </w:t>
      </w:r>
      <w:r w:rsidR="000C40D9" w:rsidRPr="00CC336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103,70</w:t>
      </w:r>
      <w:r w:rsidRPr="00CC336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%, что</w:t>
      </w:r>
      <w:r w:rsidRPr="00467CB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обусловлено стабильным уровнем спроса на потребительском рынке.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7CB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В структуре производства пищевых продуктов наибольшую долю занимают хлебобулочные и кондитерские изделия. Производство хлебобулочных изделий осуществляют следующие предприятия: общество с ограниченной ответственностью «Хлебопродукт», общество с ограниченной ответственностью «Сияние Севера» и общество с ограниченной ответственностью «Фокус-Ритейл».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По виду деятельности «Деятельность полиграфическая и копирование носителей информации» в городе Когалыме осуществляется выпуск бланочной и газетной продукции. Данные услуги оказывает </w:t>
      </w:r>
      <w:r w:rsidRPr="00467CB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общество с ограниченной ответственностью </w:t>
      </w:r>
      <w:r w:rsidRPr="00467CBF">
        <w:rPr>
          <w:rFonts w:ascii="Times New Roman" w:hAnsi="Times New Roman" w:cs="Times New Roman"/>
          <w:sz w:val="26"/>
          <w:szCs w:val="26"/>
        </w:rPr>
        <w:t xml:space="preserve">«Когалымская городская типография». Всего в 2016 году было выпущено 78,53 тыс. экземпляров газеты. В 2017 году объем </w:t>
      </w:r>
      <w:r w:rsidR="003400B1">
        <w:rPr>
          <w:rFonts w:ascii="Times New Roman" w:hAnsi="Times New Roman" w:cs="Times New Roman"/>
          <w:sz w:val="26"/>
          <w:szCs w:val="26"/>
        </w:rPr>
        <w:t>повысится</w:t>
      </w:r>
      <w:r w:rsidRPr="00467CB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Объем отгруженной продукции данного вида деятельности в стоимостном выражении в 2017 году ожидается в размере </w:t>
      </w:r>
      <w:r w:rsidR="003400B1">
        <w:rPr>
          <w:rFonts w:ascii="Times New Roman" w:hAnsi="Times New Roman" w:cs="Times New Roman"/>
          <w:sz w:val="26"/>
          <w:szCs w:val="26"/>
        </w:rPr>
        <w:t>63,6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млн. рублей, что в сопоставимых ценах к предыдущему году составит </w:t>
      </w:r>
      <w:r w:rsidR="003400B1">
        <w:rPr>
          <w:rFonts w:ascii="Times New Roman" w:hAnsi="Times New Roman" w:cs="Times New Roman"/>
          <w:sz w:val="26"/>
          <w:szCs w:val="26"/>
        </w:rPr>
        <w:t>399,02</w:t>
      </w:r>
      <w:r w:rsidRPr="00467CBF">
        <w:rPr>
          <w:rFonts w:ascii="Times New Roman" w:hAnsi="Times New Roman" w:cs="Times New Roman"/>
          <w:sz w:val="26"/>
          <w:szCs w:val="26"/>
        </w:rPr>
        <w:t xml:space="preserve">%. В дальнейшем индекс производства в базовом варианте составит </w:t>
      </w:r>
      <w:r w:rsidR="003400B1">
        <w:rPr>
          <w:rFonts w:ascii="Times New Roman" w:hAnsi="Times New Roman" w:cs="Times New Roman"/>
          <w:sz w:val="26"/>
          <w:szCs w:val="26"/>
        </w:rPr>
        <w:t>95,3</w:t>
      </w:r>
      <w:r w:rsidRPr="00467CBF">
        <w:rPr>
          <w:rFonts w:ascii="Times New Roman" w:hAnsi="Times New Roman" w:cs="Times New Roman"/>
          <w:sz w:val="26"/>
          <w:szCs w:val="26"/>
        </w:rPr>
        <w:t xml:space="preserve">% в 2018 году, </w:t>
      </w:r>
      <w:r w:rsidR="003400B1">
        <w:rPr>
          <w:rFonts w:ascii="Times New Roman" w:hAnsi="Times New Roman" w:cs="Times New Roman"/>
          <w:sz w:val="26"/>
          <w:szCs w:val="26"/>
        </w:rPr>
        <w:t>95,52</w:t>
      </w:r>
      <w:r w:rsidRPr="00467CBF">
        <w:rPr>
          <w:rFonts w:ascii="Times New Roman" w:hAnsi="Times New Roman" w:cs="Times New Roman"/>
          <w:sz w:val="26"/>
          <w:szCs w:val="26"/>
        </w:rPr>
        <w:t>% в 2019 году и 9</w:t>
      </w:r>
      <w:r w:rsidR="00BB7CD8">
        <w:rPr>
          <w:rFonts w:ascii="Times New Roman" w:hAnsi="Times New Roman" w:cs="Times New Roman"/>
          <w:sz w:val="26"/>
          <w:szCs w:val="26"/>
        </w:rPr>
        <w:t>6,49</w:t>
      </w:r>
      <w:r w:rsidRPr="00467CBF">
        <w:rPr>
          <w:rFonts w:ascii="Times New Roman" w:hAnsi="Times New Roman" w:cs="Times New Roman"/>
          <w:sz w:val="26"/>
          <w:szCs w:val="26"/>
        </w:rPr>
        <w:t>% в 2020 году.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7CBF">
        <w:rPr>
          <w:rFonts w:ascii="Times New Roman" w:hAnsi="Times New Roman" w:cs="Times New Roman"/>
          <w:sz w:val="26"/>
          <w:szCs w:val="26"/>
        </w:rPr>
        <w:t>По виду деятельности «Производство резиновых и пластмассовых изделий» о</w:t>
      </w:r>
      <w:r w:rsidRPr="00467CB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бъем отгруженных товаров в 2016 году составил 5,40 млн. рублей, индекс промышленного производства – 110,99%. В данной сфере осуществляет деятельность предприятие ООО «Когалым НПО-Сервис», данный рост объясняется увеличением производственной программы предприятия. В 2017 году по данным предприятия, объем производимой продукции </w:t>
      </w:r>
      <w:r w:rsidR="003400B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повысится</w:t>
      </w:r>
      <w:r w:rsidRPr="00467CB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и составит </w:t>
      </w:r>
      <w:r w:rsidR="003400B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5,72</w:t>
      </w:r>
      <w:r w:rsidRPr="00467CB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млн. рублей, индекс производства – </w:t>
      </w:r>
      <w:r w:rsidR="003400B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</w:t>
      </w:r>
      <w:r w:rsidR="000C40D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4,30</w:t>
      </w:r>
      <w:r w:rsidRPr="00467CB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%. В прогнозируемом периоде предусматривается объем производства </w:t>
      </w:r>
      <w:r w:rsidRPr="00467CBF">
        <w:rPr>
          <w:rFonts w:ascii="Times New Roman" w:hAnsi="Times New Roman" w:cs="Times New Roman"/>
          <w:sz w:val="26"/>
          <w:szCs w:val="26"/>
        </w:rPr>
        <w:t>резиновых изделий</w:t>
      </w:r>
      <w:r w:rsidRPr="00467CB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в базовом варианте к 2020 году </w:t>
      </w:r>
      <w:r w:rsidR="000C40D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105,80</w:t>
      </w:r>
      <w:r w:rsidRPr="00467CB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%.</w:t>
      </w:r>
    </w:p>
    <w:p w:rsidR="00D45DC2" w:rsidRPr="00467CB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По виду деятельности «Текстильное и швейное производство» в городе преимущественно изготавливается спецодежда (общество с ограниченной ответственностью «Рябинушка»). В 2016 году объем отгруженных товаров собственного производства по данным предприятия увеличился по отношению к 2015 году и составил 0,20 млн. рублей, что в действующих ценах к 2015 году составило 117,65%. По оценке в 2017 году объем производства составит 0,23 млн. рублей, индекс производства – 113,04%. В базовом варианте индекс производства в 2018-2020 годах составит 105,87% – 105,47%.</w:t>
      </w:r>
    </w:p>
    <w:p w:rsidR="006A67D6" w:rsidRPr="00467CBF" w:rsidRDefault="006A67D6" w:rsidP="009D5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902FD" w:rsidRPr="00467CBF" w:rsidRDefault="000902FD" w:rsidP="000902FD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4" w:name="_Toc498075893"/>
      <w:r w:rsidRPr="00467CBF">
        <w:rPr>
          <w:rFonts w:ascii="Times New Roman" w:hAnsi="Times New Roman" w:cs="Times New Roman"/>
          <w:b/>
          <w:bCs/>
          <w:color w:val="auto"/>
          <w:sz w:val="26"/>
          <w:szCs w:val="26"/>
        </w:rPr>
        <w:t>2. ИНВЕСТИЦИИ</w:t>
      </w:r>
      <w:bookmarkEnd w:id="4"/>
    </w:p>
    <w:p w:rsidR="000902FD" w:rsidRPr="00467CBF" w:rsidRDefault="000902FD" w:rsidP="00090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6"/>
        </w:rPr>
      </w:pP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 xml:space="preserve">Рост инвестиций является одним из основных факторов роста экономики, развития предприятий, обновления технической и технологической базы, создания новых рабочих мест. Привлечение инвестиций в экономику города Когалыма является одной из стратегических задач Администрации города Когалыма. В среднесрочном периоде Администрация города Когалыма продолжит проведение инвестиционной политики, направленной на создание максимально комфортных </w:t>
      </w:r>
      <w:r w:rsidRPr="00E1082A">
        <w:rPr>
          <w:rFonts w:ascii="Times New Roman" w:hAnsi="Times New Roman" w:cs="Times New Roman"/>
          <w:sz w:val="26"/>
          <w:szCs w:val="26"/>
        </w:rPr>
        <w:lastRenderedPageBreak/>
        <w:t xml:space="preserve">условий для инвесторов, на совершенствование организационных условий ведения предпринимательской деятельности. 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 xml:space="preserve">В 2017 году объем инвестиций в основной капитал за счет всех источников финансирования по оценке составит 17 247,42 млн. рублей или 97,1% в сопоставимых ценах к уровню 2016 года. При этом в структуре объема инвестиций наибольший удельный вес приходиться на следующие виды деятельности: 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- 54,4% - добыча полезных ископаемых и предоставление услуг в этих областях;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- 15,5% – финансовая деятельность;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- 6,3% – операции с недвижимым имуществом, аренда и предоставление услуг.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В 2016 году наблюдается снижение объема инвестиций в сфере добычи полезных ископаемых и предоставлении услуг в этих областях относительно 2015 года (индекс физического объема составил 90,63%), что обусловлено уменьшением объема инвестиций на приобретение машин и оборудования для буровых установок, снижением спроса на лизинговые услуги и другое. В 2017 году объем инвестиций по данному виду деятельности ожидается на уровне 97,2% к уровню 2016 года в сопоставимых ценах (9 385,0 млн. рублей).</w:t>
      </w:r>
    </w:p>
    <w:p w:rsidR="00467CBF" w:rsidRPr="00674E51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В прогнозном периоде ожидается незначительное снижение объема инвестиционных вложений в 2018 году по базовому варианту (97,3% у ровню 2017 года или 17 093,9 млн. рублей), и рост к 2020 году на 3,4% к уровню 2017 года (или 17 676,0 млн. рублей).</w:t>
      </w:r>
      <w:r w:rsidRPr="00674E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7CBF" w:rsidRPr="00674E51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7CBF" w:rsidRPr="00674E51" w:rsidRDefault="00467CBF" w:rsidP="00467C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E5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B089CC1" wp14:editId="74727E63">
            <wp:extent cx="6172200" cy="3857625"/>
            <wp:effectExtent l="0" t="0" r="0" b="0"/>
            <wp:docPr id="11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67CBF" w:rsidRPr="00674E51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lastRenderedPageBreak/>
        <w:t xml:space="preserve">В прогнозном периоде темп роста объема инвестиций в сфере добычи полезных ископаемых составит по базовому варианту составят: в 2018 году – 102,1%, в 2019 году – 102,4%, в 2020 году – 100,1%. 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Капитальные вложения в сфере добычи полезных ископаемых будут направлены на предоставление услуг по бурению эксплуатационных и разведочных скважин, реконструкцию действующих объектов и прочих услуг, связанных с добычей нефти и газа, а также на приобретение оборудования. В данной сфере капитальные вложения осуществляют такие предприятия как: общество с ограниченной ответственностью «КАТКонефть», закрытое акционерное общество «ЛУКОЙЛ-АИК», общество с ограниченной ответственностью «Центр научно-исследовательских и производственных работ» и другие предприятия.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В 2016 году капитальные вложения в обрабатывающие производства составили 1 910,05 млн. рублей или 121,4% к предыдущему году в сопоставимых ценах. По данному разделу капитальные вложения осуществляются в следующих видах деятельности: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- «Производство кокса, нефтепродуктов и ядерных материалов». Рост инвестиций здесь составил в 2016 году 125,0% в сопоставимых ценах. В результате реконструкции нефтеперерабатывающего завода осуществляется выпуск бензина стандарта Евро 5, с октановым числом 95, ранее предприятие производило выпуск бензина с октановым числом 92. Кроме того, был запущен реактор гидроочистки дизельного топлива, что также позволяет улучшить качество производства топлива согласно установленным требованиям.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В связи с завершением реконструкции завода в 2016 году, в дальнейшем, значительных вложений в данной отрасли не планируется, в связи с чем, темп роста в прогнозном периоде составит в базовом варианте 17,1% в 2017 году, 98,7% в 2018 году, 100,2% в 2019 году.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- «Химическое производство». Объем инвестиций в 2016 году снизился к уровню 2015 года и в сопоставимых ценах составил 35,63%. Связано это с завершением инвестиционной программы, которая реализовывалась в 2015 году, ООО «Когалымским заводом химреагентов» в рамках своей инвестиционной программы производило реконструкцию зданий, емкостей, приобретало специализированный автотранспорт, была произведена автоматизация производства. Однако в прогнозном периоде, по данным предприятия, в 2018 году планируется провести реконструкцию систем очистки, продолжить автоматизацию производства, а также приобретение специализированного технологического транспорта. В связи с чем, рост инвестиций в прогнозном периоде в базовом варианте может составить в 2018 году – 165,1%, в 2019 году – 103,4% в сопоставимых ценах.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 xml:space="preserve">- «Производство электрооборудования, электронного и оптического оборудования». В 2016 году индекс физического объема в данной отрасли составил 136,4%, при этом в 2017 году по оценке показатель составит 95,9%. Это связано с приобретением обществом с ограниченной ответственностью «ЛУКОЙЛ ЭПУ Сервис» в 2016 году оборудования для завода по изготовлению вентильных двигателей. Запуск завода осуществлен в сентябре 2016 года. Собственное </w:t>
      </w:r>
      <w:r w:rsidRPr="00E1082A">
        <w:rPr>
          <w:rFonts w:ascii="Times New Roman" w:hAnsi="Times New Roman" w:cs="Times New Roman"/>
          <w:sz w:val="26"/>
          <w:szCs w:val="26"/>
        </w:rPr>
        <w:lastRenderedPageBreak/>
        <w:t>производство позволяет выполнить «Стратегию замещения асинхронных двигателей на вентильные в НТДО Группы «Лукойл», сократить затраты на электроэнергию на 11,1% при добыче нефти и поднять Общество на новый технологический уровень. Индекс физического объема в базовом варианте составит в 2018 году 99,2%, в 2019 году 98,3%, в 2020 году 98,0%.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В среднесрочной перспективе индекс физического объема инвестиций в обрабатывающем производстве в базовом варианте составит от 100,7% в 2018 году до 97,3% в 2020 году.</w:t>
      </w:r>
    </w:p>
    <w:p w:rsidR="00467CBF" w:rsidRPr="00E1082A" w:rsidRDefault="00467CBF" w:rsidP="00467CBF">
      <w:pPr>
        <w:tabs>
          <w:tab w:val="num" w:pos="3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С целью повышения качества условий проживания и коммунального обслуживания в части теплоснабжения, водоснабжения и водоотведения населения и организаций в городе Когалыме продолжают реализовываться две инвестиционные программы по реконструкции, модернизации и развитию систем теплоснабжения, водоснабжения и водоотведения города Когалыма: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- инвестиционная программа ООО «Городские Теплосети» по реконструкции, модернизации и развитию системы теплоснабжения города Когалыма на 2010-2020 годы;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- инвестиционная программа ООО «Горводоканал» по реконструкции, модернизации и развитию систем водоснабжения и водоотведения города Когалыма на 2010-2020 годы.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Источником финансирования мероприятий программ являются собственные средства предприятий.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Также с целью устойчивого функционирования и развития электроэнергетики города Когалыма открытое акционерное общество «ЮТЭК-Когалым» участвует в реализации инвестиционной программы открытого акционерного общества «ЮРЭСК по городу Когалыму», в рамках концессионного соглашения, в отношении имущественного комплекса «Система электроснабжения города Когалыма».</w:t>
      </w:r>
    </w:p>
    <w:p w:rsidR="00467CBF" w:rsidRPr="00E1082A" w:rsidRDefault="00467CBF" w:rsidP="00467C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 xml:space="preserve">В рамках данных программ осуществляется модернизация и приобретение оборудования, реконструкция сетей водоснабжения и теплоснабжения объектов города. </w:t>
      </w:r>
    </w:p>
    <w:p w:rsidR="00467CBF" w:rsidRPr="00E1082A" w:rsidRDefault="00467CBF" w:rsidP="00467C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Кроме того, по данному виду деятельности осуществляются капитальные вложения акционерным обществом «Тюменьэнерго». Филиал АО «Тюменьэнерго» Когалымские электрические сети продолжает реализацию мероприятий по развитию электросетевого хозяйства в своей зоне ответственности и по повышению надежности электроснабжения потребителей.</w:t>
      </w:r>
    </w:p>
    <w:p w:rsidR="00467CBF" w:rsidRPr="00E1082A" w:rsidRDefault="00467CBF" w:rsidP="00467C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Также, предприятием ООО «ЛУКОЙЛ - Энергосети» осуществляется реконструкция и модернизация существующих энергообъектов. 26 мая 2017 предприятию согласована инвестиционная программа в сере теплоснабжения по городу Когалыму, целю которой является повышение надежности теплоснабжения объектов производственного назначения, расположенных на территории промышленной зоны города Когалыма (техническое перевооружение насосного и котлового хозяйств, прокладка участка тепловой сети и т.д.).</w:t>
      </w:r>
    </w:p>
    <w:p w:rsidR="00467CBF" w:rsidRPr="00E1082A" w:rsidRDefault="00467CBF" w:rsidP="00467C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 xml:space="preserve">Темп роста инвестиций в обеспечение электрической энергией, газом и паром, кондиционирование воздуха составит в 2018 году 98,0% (14,5 млн. рублей), в 2019 году 104,5% (15,1 млн. рублей), в 2020 году 98,0% (14,8 млн. рублей) по </w:t>
      </w:r>
      <w:r w:rsidRPr="00E1082A">
        <w:rPr>
          <w:rFonts w:ascii="Times New Roman" w:hAnsi="Times New Roman" w:cs="Times New Roman"/>
          <w:sz w:val="26"/>
          <w:szCs w:val="26"/>
        </w:rPr>
        <w:lastRenderedPageBreak/>
        <w:t>базовому варианту, индекс физического объема при этом составит: 96,2%, 101,3% и 95,2% соответственно.</w:t>
      </w:r>
    </w:p>
    <w:p w:rsidR="00467CBF" w:rsidRPr="00E1082A" w:rsidRDefault="00467CBF" w:rsidP="00467C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Темп роста инвестиций в водоснабжение, водоотведение, организацию сбора и утилизацию отходов, деятельность по ликвидации загрязнений составит в 2018 году 98,0% (470,3 млн. рублей), в 2019 году 104,1% (489,59 млн. рублей), в 2020 году 98,0% (14,84 млн. рублей) по базовому варианту.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Объем инвестиций, направленных в строительство, по оценке в 2017 году составит 1 407,32 млн. рублей (3,5 раза к уровню 2016 года). В последующие годы предусматривается продолжение работ по строительству жилья, благоустройству микрорайонов и строительству инженерных сетей к вновь вводимым жилым домам. В целях обеспечения земельного участка под строительство объекта социальной инфраструктуры «Общеобразовательная школа на 1100 мест» запланировано строительства магистральных инженерных сетей ул. Сибирская.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 xml:space="preserve">В 2016 году в связи с завершением в 2015 году масштабных работ по  реконструкции поликлиники по обслуживанию взрослого населения города Когалыма мощностью 850 посещений темп роста объема капитальных вложений в здравоохранение и предоставление социальных услуг составил 35,4% в сопоставимых ценах к 2015 году (99,47 млн. рублей). В 2017 году ожидается 102,0% (101,46 млн. рублей). В дальнейшей перспективе объем капитальных вложений ожидается от 102,0% до 101,9% по базовому варианту. </w:t>
      </w:r>
    </w:p>
    <w:p w:rsidR="00467CBF" w:rsidRPr="00E1082A" w:rsidRDefault="00467CBF" w:rsidP="00467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Кроме того, значительный объем капитальных вложений направлен в 2016 году по разделу «Предоставление прочих коммунальных, социальных и персональных услуг». В 2016 году началась реконструкция объекта «Культурно-досуговый комплекс «Янтарь» под филиал Государственного академического Малого театра России» (в том числе проектно-изыскательские работы), также реконструкция объекта «Здание дома культуры «Сибирь», реконструкция объекта «Зона отдыха по улице Сибирская». В 2017 и 2018 годы запланировано окончание работ по данны</w:t>
      </w:r>
      <w:r w:rsidR="004C00EE">
        <w:rPr>
          <w:rFonts w:ascii="Times New Roman" w:hAnsi="Times New Roman" w:cs="Times New Roman"/>
          <w:sz w:val="26"/>
          <w:szCs w:val="26"/>
        </w:rPr>
        <w:t>м</w:t>
      </w:r>
      <w:r w:rsidRPr="00E1082A">
        <w:rPr>
          <w:rFonts w:ascii="Times New Roman" w:hAnsi="Times New Roman" w:cs="Times New Roman"/>
          <w:sz w:val="26"/>
          <w:szCs w:val="26"/>
        </w:rPr>
        <w:t xml:space="preserve"> объекта</w:t>
      </w:r>
      <w:r w:rsidR="004C00EE">
        <w:rPr>
          <w:rFonts w:ascii="Times New Roman" w:hAnsi="Times New Roman" w:cs="Times New Roman"/>
          <w:sz w:val="26"/>
          <w:szCs w:val="26"/>
        </w:rPr>
        <w:t>м</w:t>
      </w:r>
      <w:r w:rsidRPr="00E1082A">
        <w:rPr>
          <w:rFonts w:ascii="Times New Roman" w:hAnsi="Times New Roman" w:cs="Times New Roman"/>
          <w:sz w:val="26"/>
          <w:szCs w:val="26"/>
        </w:rPr>
        <w:t>. Таким образом, темпы роста инвестиций по данному разделу в базовом варианте составят в 2017 году – 59,3%, в 2018 году – 102,3%, в 2019 году – 101,2%, в 2020 году – 101,7%.</w:t>
      </w:r>
    </w:p>
    <w:p w:rsidR="00467CBF" w:rsidRPr="00E1082A" w:rsidRDefault="00467CBF" w:rsidP="0046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Основным источником финансирования капитальных вложений в 2016 году являются собственные средства предприятий, их доля составила 92,5% в общем объёме инвестиций. На долю привлеченных средств приходится 5,5%. В дальнейшем удельный вес капитальных вложений за сч</w:t>
      </w:r>
      <w:r w:rsidR="004C00EE">
        <w:rPr>
          <w:rFonts w:ascii="Times New Roman" w:hAnsi="Times New Roman" w:cs="Times New Roman"/>
          <w:sz w:val="26"/>
          <w:szCs w:val="26"/>
        </w:rPr>
        <w:t>е</w:t>
      </w:r>
      <w:r w:rsidRPr="00E1082A">
        <w:rPr>
          <w:rFonts w:ascii="Times New Roman" w:hAnsi="Times New Roman" w:cs="Times New Roman"/>
          <w:sz w:val="26"/>
          <w:szCs w:val="26"/>
        </w:rPr>
        <w:t xml:space="preserve">т привлеченных средств продолжит снижаться (снижение объема бюджетных средств). 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 xml:space="preserve">Бюджетные средства в общем объеме привлеченных средств в 2016 году составили 83,6%, основные направления капитальных вложений - развитие инфраструктуры в образовании, культуре, молодёжной политике, физической культуре и спорте, модернизация и реконструкция жилищно – коммунального хозяйства и т.д. 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За счёт бюджетных средств, в прогнозном периоде, будет осуществлено строительство магистральных внутриквартальных инженерных сетей застройки жилыми домами поселка Пионерный, а также по улице Комсомольской в городе Когалыме, приобретение жилья и т.д.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lastRenderedPageBreak/>
        <w:t xml:space="preserve">За 2015-2016 годы было немало сделано в области реализации инвестиционной политики: приняты необходимые нормативные правовые акты, разработан и утверждён Инвестиционный паспорт города Когалыма, создан Совет по вопросам развития инвестиционной деятельности в городе Когалыме. </w:t>
      </w:r>
    </w:p>
    <w:p w:rsidR="00467CBF" w:rsidRPr="00E1082A" w:rsidRDefault="00467CBF" w:rsidP="00467CB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 xml:space="preserve">Для повышения информированности предпринимателей о существующих возможностях размещения производств утверждены </w:t>
      </w:r>
      <w:bookmarkStart w:id="5" w:name="_Toc479761470"/>
      <w:r w:rsidRPr="00E1082A">
        <w:rPr>
          <w:rFonts w:ascii="Times New Roman" w:hAnsi="Times New Roman" w:cs="Times New Roman"/>
          <w:sz w:val="26"/>
          <w:szCs w:val="26"/>
        </w:rPr>
        <w:t xml:space="preserve">Планы-графики проведения аукционов по продаже и (или) предоставлению в аренду земельных участков, предназначенных для реализации инвестиционных проектов на 2017 год </w:t>
      </w:r>
      <w:bookmarkEnd w:id="5"/>
      <w:r w:rsidRPr="00E1082A">
        <w:rPr>
          <w:rFonts w:ascii="Times New Roman" w:hAnsi="Times New Roman" w:cs="Times New Roman"/>
          <w:sz w:val="26"/>
          <w:szCs w:val="26"/>
        </w:rPr>
        <w:t xml:space="preserve">и проведения аукционов по продаже и (или) предоставлению в аренду земельных участков </w:t>
      </w:r>
      <w:bookmarkStart w:id="6" w:name="_Toc479761469"/>
      <w:r w:rsidRPr="00E1082A">
        <w:rPr>
          <w:rFonts w:ascii="Times New Roman" w:hAnsi="Times New Roman" w:cs="Times New Roman"/>
          <w:sz w:val="26"/>
          <w:szCs w:val="26"/>
        </w:rPr>
        <w:t>для жилищного строительства на 2017 год и на плановый период 2018-2019 годы в городе Когалыме</w:t>
      </w:r>
      <w:bookmarkEnd w:id="6"/>
      <w:r w:rsidRPr="00E1082A">
        <w:rPr>
          <w:rFonts w:ascii="Times New Roman" w:hAnsi="Times New Roman" w:cs="Times New Roman"/>
          <w:sz w:val="26"/>
          <w:szCs w:val="26"/>
        </w:rPr>
        <w:t>.</w:t>
      </w:r>
    </w:p>
    <w:p w:rsidR="00467CBF" w:rsidRPr="00E1082A" w:rsidRDefault="00467CBF" w:rsidP="00467CB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Сформирован и размещен на сайте Администрации города Когалыма и Инвестиционном портале Югры  План создания объектов инвестиционной инфраструктуры  в городе Когалыме в 2017 году.</w:t>
      </w:r>
    </w:p>
    <w:p w:rsidR="00467CBF" w:rsidRPr="00E1082A" w:rsidRDefault="00467CBF" w:rsidP="00467CB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Информация об инвестиционных площадках в городе Когалыме (с указанием наличия транспортной и инженерной инфраструктуры)  направляется в Фонд развития Югры для дальнейшего размещения  на Инвестиционной карте ХМАО-Югры.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 xml:space="preserve"> Все нормативные правовые акты, направленные на создание благоприятных условий для развития инвестиционной деятельности, являются открытыми для всеобщего ознакомления и размещены на официальном сайте Администрации города Когалыма в разделе «</w:t>
      </w:r>
      <w:hyperlink r:id="rId12" w:history="1">
        <w:r w:rsidRPr="00E1082A">
          <w:rPr>
            <w:rStyle w:val="afb"/>
            <w:rFonts w:ascii="Times New Roman" w:hAnsi="Times New Roman" w:cs="Times New Roman"/>
            <w:color w:val="auto"/>
            <w:sz w:val="26"/>
            <w:szCs w:val="26"/>
            <w:u w:val="none"/>
          </w:rPr>
          <w:t>Инвестиционная деятельность, формирование благоприятных условий ведения предпринимательской деятельности»</w:t>
        </w:r>
      </w:hyperlink>
      <w:r w:rsidRPr="00E1082A">
        <w:rPr>
          <w:rFonts w:ascii="Times New Roman" w:hAnsi="Times New Roman" w:cs="Times New Roman"/>
          <w:sz w:val="26"/>
          <w:szCs w:val="26"/>
        </w:rPr>
        <w:t>.</w:t>
      </w:r>
    </w:p>
    <w:p w:rsidR="00467CBF" w:rsidRPr="00E1082A" w:rsidRDefault="00467CBF" w:rsidP="00467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Администрацией города Когалыма сформирован детальный план мероприятий по мониторингу внедренных в 2016 году  успешных практик, который согласован Департаментом экономики и экспертной группой.</w:t>
      </w:r>
    </w:p>
    <w:p w:rsidR="00467CBF" w:rsidRPr="00E1082A" w:rsidRDefault="00467CBF" w:rsidP="00467C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 xml:space="preserve">На федеральном уровне утверждены целевые модели упрощения процедур ведения бизнеса и повышения инвестиционной привлекательности субъектов Российской Федерации (распоряжение от 31.07.2017 № 147-р). В автономном округе принято решение о внедрении данных целевых моделей в рамках 9 портфелей проектов. </w:t>
      </w:r>
    </w:p>
    <w:p w:rsidR="00467CBF" w:rsidRPr="00E1082A" w:rsidRDefault="00467CBF" w:rsidP="00467C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Соответствующими органами исполнительной власти автономного округа  утверждены портфели проектов, основанные на целевых моделях.</w:t>
      </w:r>
    </w:p>
    <w:p w:rsidR="00467CBF" w:rsidRPr="00E1082A" w:rsidRDefault="00467CBF" w:rsidP="00467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Когалым принимает участие в 6 портфелях проектов. Внедрение успешных практик в 2017 году осуществляется путем реализации мероприятий портфелей проектов.</w:t>
      </w:r>
    </w:p>
    <w:p w:rsidR="00467CBF" w:rsidRPr="00E1082A" w:rsidRDefault="00467CBF" w:rsidP="00467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Все паспорта портфелей проектов проанализированы, составлен план мероприятий по их реализации, определены структурные подразделения, ответственные за реализацию.  На достижение целевых показателей в городе Когалыме направлено 43 мероприятия.</w:t>
      </w:r>
    </w:p>
    <w:p w:rsidR="00467CBF" w:rsidRPr="00614441" w:rsidRDefault="00467CBF" w:rsidP="00467CBF">
      <w:pPr>
        <w:spacing w:after="0" w:line="240" w:lineRule="auto"/>
        <w:ind w:firstLine="709"/>
        <w:jc w:val="both"/>
        <w:rPr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В прогнозном периоде продолжится работа по обеспечению доступа инвесторов к имущественным ресурсам и инженерной инфраструктуре, повышению информационной открытости.</w:t>
      </w:r>
      <w:r w:rsidRPr="00674E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3948" w:rsidRPr="00467CBF" w:rsidRDefault="00FC3948" w:rsidP="005B3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78C3" w:rsidRPr="00467CBF" w:rsidRDefault="00F678C3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7" w:name="_Toc498075894"/>
      <w:r w:rsidRPr="00467CBF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 xml:space="preserve">3. </w:t>
      </w:r>
      <w:r w:rsidR="00442AEA" w:rsidRPr="00467CBF">
        <w:rPr>
          <w:rFonts w:ascii="Times New Roman" w:hAnsi="Times New Roman" w:cs="Times New Roman"/>
          <w:b/>
          <w:color w:val="auto"/>
          <w:sz w:val="26"/>
          <w:szCs w:val="26"/>
        </w:rPr>
        <w:t>СТРОИТЕЛЬСТВО</w:t>
      </w:r>
      <w:bookmarkEnd w:id="7"/>
    </w:p>
    <w:p w:rsidR="00F678C3" w:rsidRPr="00467CBF" w:rsidRDefault="00F678C3" w:rsidP="005B31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Темп роста объема работ, выполненных по виду деятельности «Строительство», в 2017 году ожидается на уровне 120,1% к показателю 2016 года, что в суммарном выражении составит 7 408,4 млн. рублей. По данным предприятий, оказывающих услуги по виду деятельности «Строительство» в 2016 году по отношению к 2015 году значительное снижение объемов связано со снижением объемов Заказчиками.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В дальнейшем прогнозируется не большой рост индекса физического объема данного показателя, в 2020 году объем выполненных работ по виду деятельности «Строительство» составит 7 571,9 млн. рублей по базовому варианту.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В 2018 году будет завершена реконструкция объектов «Культурно-досуговый комплекс «Янтарь» под филиал Государственного академического Малого театра России», а в 2017 году реконструкция объекта «Здание дом культуры «Сибирь».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Продолжится строительство магистральных внутриквартальных инженерных сетей застройки жилыми домами поселка Пионерный, также по улице Комсомольской, и сетей ливневой канализации с территории 11 микрорайона. В период 2017-2018 годов запланировано строительство магистральных и внутриквартальных инженерных сетей электроснабжения 6/0,4 кВ для индивидуальной жилой застройки на территории ограниченной улицами Береговая, Дорожников, Олимпийская, проспект Нефтяников в городе Когалыме.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_Toc448584762"/>
      <w:r w:rsidRPr="00E1082A">
        <w:rPr>
          <w:rFonts w:ascii="Times New Roman" w:hAnsi="Times New Roman" w:cs="Times New Roman"/>
          <w:sz w:val="26"/>
          <w:szCs w:val="26"/>
        </w:rPr>
        <w:t>Обеспечение жителей города Когалыма доступным и комфортным жильём является одной из основных задач.</w:t>
      </w:r>
      <w:bookmarkEnd w:id="8"/>
      <w:r w:rsidRPr="00E108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В 2016 году ввод жилья составил 5,5 тыс. кв.м., в том числе индивидуальное жилищное строительство площадью 1,3 тыс. кв. м.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Строительство многоквартирных жилых домов в городе Когалыме в 2016 году осуществляли строительные компании: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- общество с ограниченной ответственностью «Градэкс», г. Санкт-Петербург;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- общество с ограниченной ответственностью «СиГруппУрал», г. Озёрск;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- общество с ограниченной ответственностью «МонтажСпецСтрой»,               г. Новосибирск.</w:t>
      </w:r>
    </w:p>
    <w:p w:rsidR="00467CBF" w:rsidRPr="00E1082A" w:rsidRDefault="00467CBF" w:rsidP="0046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В 2017 году планируется ввести в эксплуатацию 13 жилых домов (в том числе 5 индивидуальных жилых дома) общей площадью 28,48 тыс. кв. м. В целом, за период 2018-2020 годов, планируется построить – 71,4 тыс. кв. м. жилья по базовому варианту.</w:t>
      </w:r>
    </w:p>
    <w:p w:rsidR="00467CBF" w:rsidRPr="00E1082A" w:rsidRDefault="00467CBF" w:rsidP="0046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2A">
        <w:rPr>
          <w:rFonts w:ascii="Times New Roman" w:hAnsi="Times New Roman" w:cs="Times New Roman"/>
          <w:sz w:val="26"/>
          <w:szCs w:val="26"/>
        </w:rPr>
        <w:t>В целях обеспечения земельного участка под строительство объекта социальной инфраструктуры «Общеобразовательная школа на 1100 мест» запланировано строительства магистральных инженерных сетей ул. Сибирская протяженностью: сети водопровода 0,12 км, сети канализации 0,12 км, сети теплоснабжения 0,35 км. Строительство школы, запланировано в период 2018-2020 годы.</w:t>
      </w:r>
    </w:p>
    <w:p w:rsidR="00467CBF" w:rsidRPr="008055F4" w:rsidRDefault="00467CBF" w:rsidP="00467CB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82A">
        <w:rPr>
          <w:rFonts w:ascii="Times New Roman" w:hAnsi="Times New Roman" w:cs="Times New Roman"/>
          <w:sz w:val="26"/>
          <w:szCs w:val="26"/>
        </w:rPr>
        <w:t xml:space="preserve">В 2016 году открылся спортивно-культурный комплекс «Галактика», что стало стимулом для освоения близлежащей территории. В 2017 году будет </w:t>
      </w:r>
      <w:r w:rsidRPr="00E1082A">
        <w:rPr>
          <w:rFonts w:ascii="Times New Roman" w:hAnsi="Times New Roman" w:cs="Times New Roman"/>
          <w:sz w:val="26"/>
          <w:szCs w:val="26"/>
        </w:rPr>
        <w:lastRenderedPageBreak/>
        <w:t>проведен аукцион по продаже права на заключение договора аренды земельного участка под строительство объекта «Универсальный спортивный комплекс. Крытый теннисный корт. Автогородок». Также, планируется строительство большого спортивного объекта - футбольный стадион «Открытие» в районе улицы Сургутское шоссе.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426A" w:rsidRPr="00467CBF" w:rsidRDefault="0066426A" w:rsidP="00CF0F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426A" w:rsidRPr="00467CBF" w:rsidRDefault="0066426A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F05A30" w:rsidRPr="005F3373" w:rsidRDefault="00442AEA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9" w:name="_Toc498075895"/>
      <w:r w:rsidRPr="005F337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4. </w:t>
      </w:r>
      <w:r w:rsidR="00F05A30" w:rsidRPr="005F3373">
        <w:rPr>
          <w:rFonts w:ascii="Times New Roman" w:hAnsi="Times New Roman" w:cs="Times New Roman"/>
          <w:b/>
          <w:bCs/>
          <w:color w:val="auto"/>
          <w:sz w:val="26"/>
          <w:szCs w:val="26"/>
        </w:rPr>
        <w:t>ПОТРЕБИТЕЛЬСКИЙ РЫНОК</w:t>
      </w:r>
      <w:bookmarkEnd w:id="9"/>
    </w:p>
    <w:p w:rsidR="009D50D6" w:rsidRPr="005F3373" w:rsidRDefault="009D50D6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05A30" w:rsidRPr="00467CBF" w:rsidRDefault="009B7AD0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0" w:name="_Toc498075896"/>
      <w:r w:rsidRPr="005F337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4.1. </w:t>
      </w:r>
      <w:r w:rsidR="00F05A30" w:rsidRPr="005F3373">
        <w:rPr>
          <w:rFonts w:ascii="Times New Roman" w:hAnsi="Times New Roman" w:cs="Times New Roman"/>
          <w:b/>
          <w:bCs/>
          <w:color w:val="auto"/>
          <w:sz w:val="26"/>
          <w:szCs w:val="26"/>
        </w:rPr>
        <w:t>Розничная торговля</w:t>
      </w:r>
      <w:bookmarkEnd w:id="10"/>
    </w:p>
    <w:p w:rsidR="00F05A30" w:rsidRPr="00467CBF" w:rsidRDefault="00F05A30" w:rsidP="009D5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03FD" w:rsidRPr="00467CBF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 современных условиях структура и объем потребительского рынка в большей степени зависят как от организации деятельности предприятий розничной торговли, так и структуры спроса платежеспособного населения.</w:t>
      </w:r>
    </w:p>
    <w:p w:rsidR="005603FD" w:rsidRPr="00467CBF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Потребительский рынок включает в себя розничную торговлю, общественное питание и сферу услуг.</w:t>
      </w:r>
    </w:p>
    <w:p w:rsidR="005603FD" w:rsidRPr="00467CBF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Расчет показателей оборота розничной торговли и объема платных услуг населению выполнен на основе данных статистического учета, а также показателей предприятий и организаций, которые осуществляют свою деятельность в городе Когалыме.</w:t>
      </w:r>
    </w:p>
    <w:p w:rsidR="005603FD" w:rsidRPr="00467CBF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201</w:t>
      </w:r>
      <w:r w:rsidR="008B544E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оборот розничной торговли в городе составил </w:t>
      </w:r>
      <w:r w:rsidR="008B544E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10 348,63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 или </w:t>
      </w:r>
      <w:r w:rsidR="00AB1AC9">
        <w:rPr>
          <w:rFonts w:ascii="Times New Roman" w:eastAsia="Calibri" w:hAnsi="Times New Roman" w:cs="Times New Roman"/>
          <w:sz w:val="26"/>
          <w:szCs w:val="26"/>
          <w:lang w:eastAsia="ru-RU"/>
        </w:rPr>
        <w:t>96,1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% в сопоставимых ценах к уровню 201</w:t>
      </w:r>
      <w:r w:rsidR="008B544E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</w:t>
      </w:r>
    </w:p>
    <w:p w:rsidR="005603FD" w:rsidRPr="00467CBF" w:rsidRDefault="00564D70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5603FD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201</w:t>
      </w:r>
      <w:r w:rsidR="008B544E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5603FD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оборот розничной торговли </w:t>
      </w:r>
      <w:r w:rsidR="008B544E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оценке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составит</w:t>
      </w:r>
      <w:r w:rsidR="005603FD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B1AC9">
        <w:rPr>
          <w:rFonts w:ascii="Times New Roman" w:eastAsia="Calibri" w:hAnsi="Times New Roman" w:cs="Times New Roman"/>
          <w:sz w:val="26"/>
          <w:szCs w:val="26"/>
          <w:lang w:eastAsia="ru-RU"/>
        </w:rPr>
        <w:t>99,5</w:t>
      </w:r>
      <w:r w:rsidR="005603FD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% в сопоставимых ценах к уровню 201</w:t>
      </w:r>
      <w:r w:rsidR="008B544E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или </w:t>
      </w:r>
      <w:r w:rsidR="00AB1AC9">
        <w:rPr>
          <w:rFonts w:ascii="Times New Roman" w:eastAsia="Calibri" w:hAnsi="Times New Roman" w:cs="Times New Roman"/>
          <w:sz w:val="26"/>
          <w:szCs w:val="26"/>
          <w:lang w:eastAsia="ru-RU"/>
        </w:rPr>
        <w:t>10 585,20</w:t>
      </w:r>
      <w:r w:rsidR="005603FD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рублей.</w:t>
      </w:r>
      <w:r w:rsidR="004C082A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AB1221" w:rsidRPr="00467CBF" w:rsidRDefault="00AB1221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603FD" w:rsidRPr="00467CBF" w:rsidRDefault="009B7AD0" w:rsidP="009D3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76799D8" wp14:editId="0C85D34E">
            <wp:extent cx="6181725" cy="3390900"/>
            <wp:effectExtent l="0" t="0" r="0" b="0"/>
            <wp:docPr id="4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258C7" w:rsidRPr="00467CBF" w:rsidRDefault="003258C7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603FD" w:rsidRPr="00467CBF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среднесрочной перспективе по мере роста доходов населения, снижения инфляционного давления динамика потребления населения будет восстанавливаться и к 20</w:t>
      </w:r>
      <w:r w:rsidR="00AB1221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оборот розничной торговли </w:t>
      </w:r>
      <w:r w:rsidR="00473A29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реальном выражении </w:t>
      </w:r>
      <w:r w:rsidR="00AB1221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будет зафиксирован на уровне 201</w:t>
      </w:r>
      <w:r w:rsidR="00416CA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="00AB1221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</w:t>
      </w:r>
      <w:r w:rsidR="00473A29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5603FD" w:rsidRPr="00467CBF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 расчёте на душу населения оборот розничной торговли в 201</w:t>
      </w:r>
      <w:r w:rsidR="00416CA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оценке составит </w:t>
      </w:r>
      <w:r w:rsidR="00AB1AC9">
        <w:rPr>
          <w:rFonts w:ascii="Times New Roman" w:eastAsia="Calibri" w:hAnsi="Times New Roman" w:cs="Times New Roman"/>
          <w:sz w:val="26"/>
          <w:szCs w:val="26"/>
          <w:lang w:eastAsia="ru-RU"/>
        </w:rPr>
        <w:t>161,8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рублей, с последующим ростом до </w:t>
      </w:r>
      <w:r w:rsidR="00AB1AC9">
        <w:rPr>
          <w:rFonts w:ascii="Times New Roman" w:eastAsia="Calibri" w:hAnsi="Times New Roman" w:cs="Times New Roman"/>
          <w:sz w:val="26"/>
          <w:szCs w:val="26"/>
          <w:lang w:eastAsia="ru-RU"/>
        </w:rPr>
        <w:t>166,7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рублей в 20</w:t>
      </w:r>
      <w:r w:rsidR="00B31C0F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03314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базовому варианту.</w:t>
      </w:r>
    </w:p>
    <w:p w:rsidR="00416CA5" w:rsidRPr="00467CBF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По состоянию на 1 января 2017 года в городе Когалыме функционирует 113 стационарных предприятия розничной торговли, торговой площадью 28 тыс. кв. метров, наиболее крупные из них:</w:t>
      </w:r>
    </w:p>
    <w:p w:rsidR="00416CA5" w:rsidRPr="00467CBF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торговый комплекс «Миллениум»;</w:t>
      </w:r>
    </w:p>
    <w:p w:rsidR="00416CA5" w:rsidRPr="00467CBF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универсам «Росич»;</w:t>
      </w:r>
    </w:p>
    <w:p w:rsidR="00416CA5" w:rsidRPr="00467CBF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торговые центры «Надежда», «Фламинго», «Лайм».</w:t>
      </w:r>
    </w:p>
    <w:p w:rsidR="00416CA5" w:rsidRPr="00467CBF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Кроме того, на территории города функционируют 9 мелкорозничных торговых предприятия торговой площадью 0,11 тыс. кв. метров и 17 аптек торговой площадью 0,6 тыс. кв. метров. </w:t>
      </w:r>
    </w:p>
    <w:p w:rsidR="00416CA5" w:rsidRPr="00467CBF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Также в городе функционирует городской рынок, расположенный по адресу: пр. Сопочинского, 2, на 147 торговых мест торговой площадью 1,7 тыс. кв. метров.</w:t>
      </w:r>
    </w:p>
    <w:p w:rsidR="0036104D" w:rsidRPr="0004320B" w:rsidRDefault="0036104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Когалыме действует 1 предприятие оптовой торговли площадью 6,2 тыс. кв. м, которое специализируются на продовольственной группе товаров. Оптовая торговля в городе Когалыме не развивается. Сказывается близость крупных городов, таких как Сургут и Нижневартовск, где, прежде всего большую роль играет удобная транспортная «развязка» и развитая материально-техническая база.</w:t>
      </w:r>
    </w:p>
    <w:p w:rsidR="00416CA5" w:rsidRPr="0004320B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4320B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Обеспеченность торговыми площадями по состоянию на 1 января 2017 года составила 473 кв. метров на 1 000 жителей или 82% от норматива (579 кв. метр на 1000 жителей).</w:t>
      </w:r>
    </w:p>
    <w:p w:rsidR="00416CA5" w:rsidRPr="00467CBF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4320B">
        <w:rPr>
          <w:rFonts w:ascii="Times New Roman" w:eastAsia="Calibri" w:hAnsi="Times New Roman" w:cs="Times New Roman"/>
          <w:sz w:val="26"/>
          <w:szCs w:val="26"/>
          <w:lang w:eastAsia="ru-RU"/>
        </w:rPr>
        <w:t>На развитие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Когалыме осуществляют свою деятельность магазины федерального значения – это магазин «Магнит», «DNS», «Монетка», салон «Евросеть» и «Связной». В отчетном периоде состоялось открытие магазина «Райт».</w:t>
      </w:r>
    </w:p>
    <w:p w:rsidR="00416CA5" w:rsidRPr="00467CBF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Когалыме – это «Сибирское золото», «585», универсам «Росич», «Монетка», «Магнит». </w:t>
      </w:r>
    </w:p>
    <w:p w:rsidR="00416CA5" w:rsidRPr="00467CBF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 2016 году состоялось открытие спортивно – культурного комплекса «Галактика», в здании которого расположился семейный гипермаркет «Магнит», сетевые магазины федерального значения «Лэтуаль», «Детский мир», аптека «Ригла» и т.д.</w:t>
      </w:r>
    </w:p>
    <w:p w:rsidR="005603FD" w:rsidRPr="00467CBF" w:rsidRDefault="005603FD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Происходит качественное изменение материально-технической базы предприятий торговой отрасли города – всё больше магазинов переходят на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использование современных методов обслуживания и новейших торговых технологий.</w:t>
      </w:r>
    </w:p>
    <w:p w:rsidR="00416CA5" w:rsidRPr="00467CBF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функционирует одна постоянно действующая ярмарка (фермерские ряды, реализующие сельскохозяйственную продукцию), а также ярмарки выходного дня (пятница, суббота, воскресенье).</w:t>
      </w:r>
    </w:p>
    <w:p w:rsidR="00416CA5" w:rsidRPr="0004320B" w:rsidRDefault="0004320B" w:rsidP="00043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432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2016 году в городе Когалыме проведены запланированные тематические выставки – ярмарки, посвященные праздникам «День влюбленных», «8 Марта», «День хлеба», «Когалымский дачник», «Осенние посадки», а также ярмарки выходного дня, посвященные празднованию «День защитника Отечества», «Проводы русской зимы 2016», «День оленевода», ярмарка в день проведения гала - концерта фестиваля детского и юношеского творчества «Юнтагор», ярмарка в день празднования 71-ой годовщины со дня Победы в Великой Отечественной войне 1941-1945 годов», «День защиты детей», «День России», «День молодежи России», «День знаний», ярмарка в честь празднования «Дня города Когалыма и Дня работника нефтяной и газовой промышленности». </w:t>
      </w:r>
      <w:r w:rsidR="00416CA5" w:rsidRPr="0004320B">
        <w:rPr>
          <w:rFonts w:ascii="Times New Roman" w:eastAsia="Calibri" w:hAnsi="Times New Roman" w:cs="Times New Roman"/>
          <w:sz w:val="26"/>
          <w:szCs w:val="26"/>
          <w:lang w:eastAsia="ru-RU"/>
        </w:rPr>
        <w:t>Была проведена ежегодная ярмарка «День урожая в городе Когалыме», с участием местных сельскохозя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йственных товаропроизводителей.</w:t>
      </w:r>
    </w:p>
    <w:p w:rsidR="00416CA5" w:rsidRPr="0004320B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432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Дополнительно, в целях расширения межрегиональных партнерских отношений и развития торгово-экономического сотрудничества Администрацией города Когалыма при содействии Департамента агропромышленного комплекса Тюменской области проведены 5 сельскохозяйственных ярмарок тюменских товаропроизводителей. Всего в рамках ярмарок было реализовано 50,7 тонн продукции на сумму 9 365,9 тыс. рублей (за 2015 год – 4 ярмарки, реализовано 167,5 тонн на сумму 8 268,1 тыс. рублей). </w:t>
      </w:r>
    </w:p>
    <w:p w:rsidR="00416CA5" w:rsidRPr="0004320B" w:rsidRDefault="00416CA5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4320B">
        <w:rPr>
          <w:rFonts w:ascii="Times New Roman" w:eastAsia="Calibri" w:hAnsi="Times New Roman" w:cs="Times New Roman"/>
          <w:sz w:val="26"/>
          <w:szCs w:val="26"/>
          <w:lang w:eastAsia="ru-RU"/>
        </w:rPr>
        <w:t>В 2017 году проведена выставка - ярмарка белорусских товаров (продовольственная и промышленные группы товаров).</w:t>
      </w:r>
    </w:p>
    <w:p w:rsidR="00416CA5" w:rsidRPr="00467CBF" w:rsidRDefault="00AB1AC9" w:rsidP="0041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432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416CA5" w:rsidRPr="000432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2017 году среднесрочной перспективе планируется п</w:t>
      </w:r>
      <w:r w:rsidR="0004320B" w:rsidRPr="0004320B">
        <w:rPr>
          <w:rFonts w:ascii="Times New Roman" w:eastAsia="Calibri" w:hAnsi="Times New Roman" w:cs="Times New Roman"/>
          <w:sz w:val="26"/>
          <w:szCs w:val="26"/>
          <w:lang w:eastAsia="ru-RU"/>
        </w:rPr>
        <w:t>родолжить данное сотрудничество.</w:t>
      </w:r>
    </w:p>
    <w:p w:rsidR="005603FD" w:rsidRPr="00467CBF" w:rsidRDefault="005603FD" w:rsidP="00DA1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Сфера общественного питания в большей степени зависит от роста реальных</w:t>
      </w:r>
      <w:r w:rsidR="00DA163E" w:rsidRPr="00467CBF">
        <w:rPr>
          <w:rFonts w:ascii="Times New Roman" w:hAnsi="Times New Roman" w:cs="Times New Roman"/>
          <w:sz w:val="26"/>
          <w:szCs w:val="26"/>
        </w:rPr>
        <w:t xml:space="preserve"> доходов населения. </w:t>
      </w:r>
      <w:r w:rsidR="008B6FB6" w:rsidRPr="00467CBF">
        <w:rPr>
          <w:rFonts w:ascii="Times New Roman" w:hAnsi="Times New Roman" w:cs="Times New Roman"/>
          <w:sz w:val="26"/>
          <w:szCs w:val="26"/>
        </w:rPr>
        <w:t>В связи с этим,</w:t>
      </w:r>
      <w:r w:rsidR="00BE3703" w:rsidRPr="00467CBF">
        <w:rPr>
          <w:rFonts w:ascii="Times New Roman" w:hAnsi="Times New Roman" w:cs="Times New Roman"/>
          <w:sz w:val="26"/>
          <w:szCs w:val="26"/>
        </w:rPr>
        <w:t xml:space="preserve"> в</w:t>
      </w:r>
      <w:r w:rsidRPr="00467CBF">
        <w:rPr>
          <w:rFonts w:ascii="Times New Roman" w:hAnsi="Times New Roman" w:cs="Times New Roman"/>
          <w:sz w:val="26"/>
          <w:szCs w:val="26"/>
        </w:rPr>
        <w:t xml:space="preserve"> условиях сложившейся экономической ситуации, с учетом роста цен на продукты питания</w:t>
      </w:r>
      <w:r w:rsidR="00DA163E" w:rsidRPr="00467CBF">
        <w:rPr>
          <w:rFonts w:ascii="Times New Roman" w:hAnsi="Times New Roman" w:cs="Times New Roman"/>
          <w:sz w:val="26"/>
          <w:szCs w:val="26"/>
        </w:rPr>
        <w:t>,</w:t>
      </w:r>
      <w:r w:rsidRPr="00467CBF">
        <w:rPr>
          <w:rFonts w:ascii="Times New Roman" w:hAnsi="Times New Roman" w:cs="Times New Roman"/>
          <w:sz w:val="26"/>
          <w:szCs w:val="26"/>
        </w:rPr>
        <w:t xml:space="preserve"> оборот общественного питания в 201</w:t>
      </w:r>
      <w:r w:rsidR="00DA163E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</w:t>
      </w:r>
      <w:r w:rsidR="00DA163E" w:rsidRPr="00467CBF">
        <w:rPr>
          <w:rFonts w:ascii="Times New Roman" w:hAnsi="Times New Roman" w:cs="Times New Roman"/>
          <w:sz w:val="26"/>
          <w:szCs w:val="26"/>
        </w:rPr>
        <w:t xml:space="preserve"> составил 2 906,8 млн. рублей (96,4% в сопоставимых ценах к уровню 2015 года). В 2017 году</w:t>
      </w:r>
      <w:r w:rsidRPr="00467CBF">
        <w:rPr>
          <w:rFonts w:ascii="Times New Roman" w:hAnsi="Times New Roman" w:cs="Times New Roman"/>
          <w:sz w:val="26"/>
          <w:szCs w:val="26"/>
        </w:rPr>
        <w:t xml:space="preserve"> по оценке </w:t>
      </w:r>
      <w:r w:rsidR="00DA163E" w:rsidRPr="00467CBF">
        <w:rPr>
          <w:rFonts w:ascii="Times New Roman" w:hAnsi="Times New Roman" w:cs="Times New Roman"/>
          <w:sz w:val="26"/>
          <w:szCs w:val="26"/>
        </w:rPr>
        <w:t xml:space="preserve">оборот </w:t>
      </w:r>
      <w:r w:rsidRPr="00467CBF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AB1AC9">
        <w:rPr>
          <w:rFonts w:ascii="Times New Roman" w:hAnsi="Times New Roman" w:cs="Times New Roman"/>
          <w:sz w:val="26"/>
          <w:szCs w:val="26"/>
        </w:rPr>
        <w:t>99,5</w:t>
      </w:r>
      <w:r w:rsidRPr="00467CBF">
        <w:rPr>
          <w:rFonts w:ascii="Times New Roman" w:hAnsi="Times New Roman" w:cs="Times New Roman"/>
          <w:sz w:val="26"/>
          <w:szCs w:val="26"/>
        </w:rPr>
        <w:t>% в сопоставимых ценах к уровню 201</w:t>
      </w:r>
      <w:r w:rsidR="00DA163E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года или </w:t>
      </w:r>
      <w:r w:rsidR="00AB1AC9">
        <w:rPr>
          <w:rFonts w:ascii="Times New Roman" w:hAnsi="Times New Roman" w:cs="Times New Roman"/>
          <w:sz w:val="26"/>
          <w:szCs w:val="26"/>
        </w:rPr>
        <w:t>3 007,9</w:t>
      </w:r>
      <w:r w:rsidR="00BE3703" w:rsidRPr="00467CBF">
        <w:rPr>
          <w:rFonts w:ascii="Times New Roman" w:hAnsi="Times New Roman" w:cs="Times New Roman"/>
          <w:sz w:val="26"/>
          <w:szCs w:val="26"/>
        </w:rPr>
        <w:t xml:space="preserve"> млн. рублей</w:t>
      </w:r>
      <w:r w:rsidR="00DA163E" w:rsidRPr="00467CBF">
        <w:rPr>
          <w:rFonts w:ascii="Times New Roman" w:hAnsi="Times New Roman" w:cs="Times New Roman"/>
          <w:sz w:val="26"/>
          <w:szCs w:val="26"/>
        </w:rPr>
        <w:t xml:space="preserve">. В расчете </w:t>
      </w:r>
      <w:r w:rsidRPr="00467CBF">
        <w:rPr>
          <w:rFonts w:ascii="Times New Roman" w:hAnsi="Times New Roman" w:cs="Times New Roman"/>
          <w:sz w:val="26"/>
          <w:szCs w:val="26"/>
        </w:rPr>
        <w:t>на душу населения оборот общественного питания в городе в 201</w:t>
      </w:r>
      <w:r w:rsidR="00DA163E" w:rsidRPr="00467CBF">
        <w:rPr>
          <w:rFonts w:ascii="Times New Roman" w:hAnsi="Times New Roman" w:cs="Times New Roman"/>
          <w:sz w:val="26"/>
          <w:szCs w:val="26"/>
        </w:rPr>
        <w:t>7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составит </w:t>
      </w:r>
      <w:r w:rsidR="00AB1AC9">
        <w:rPr>
          <w:rFonts w:ascii="Times New Roman" w:hAnsi="Times New Roman" w:cs="Times New Roman"/>
          <w:sz w:val="26"/>
          <w:szCs w:val="26"/>
        </w:rPr>
        <w:t>46</w:t>
      </w:r>
      <w:r w:rsidRPr="00467CBF">
        <w:rPr>
          <w:rFonts w:ascii="Times New Roman" w:hAnsi="Times New Roman" w:cs="Times New Roman"/>
          <w:sz w:val="26"/>
          <w:szCs w:val="26"/>
        </w:rPr>
        <w:t xml:space="preserve"> тыс. рублей (в 201</w:t>
      </w:r>
      <w:r w:rsidR="00DA163E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DA163E" w:rsidRPr="00467CBF">
        <w:rPr>
          <w:rFonts w:ascii="Times New Roman" w:hAnsi="Times New Roman" w:cs="Times New Roman"/>
          <w:sz w:val="26"/>
          <w:szCs w:val="26"/>
        </w:rPr>
        <w:t>45,3</w:t>
      </w:r>
      <w:r w:rsidRPr="00467CBF">
        <w:rPr>
          <w:rFonts w:ascii="Times New Roman" w:hAnsi="Times New Roman" w:cs="Times New Roman"/>
          <w:sz w:val="26"/>
          <w:szCs w:val="26"/>
        </w:rPr>
        <w:t xml:space="preserve"> тыс. рублей).</w:t>
      </w:r>
    </w:p>
    <w:p w:rsidR="005603FD" w:rsidRPr="00467CBF" w:rsidRDefault="005603FD" w:rsidP="005603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B7AD0" w:rsidRPr="00467CBF" w:rsidRDefault="009B7AD0" w:rsidP="009B7A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05081707" wp14:editId="22682A28">
            <wp:extent cx="6315075" cy="3296841"/>
            <wp:effectExtent l="19050" t="0" r="9525" b="0"/>
            <wp:docPr id="5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B7AD0" w:rsidRPr="00467CBF" w:rsidRDefault="009B7AD0" w:rsidP="009B7A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603FD" w:rsidRPr="00467CBF" w:rsidRDefault="005603F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 прогнозном периоде оборот общественного питания будет иметь положительную динамику с ростом до 10</w:t>
      </w:r>
      <w:r w:rsidR="0036104D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% в 20</w:t>
      </w:r>
      <w:r w:rsidR="0036104D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</w:t>
      </w:r>
      <w:r w:rsidR="000A4D6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базовому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варианту</w:t>
      </w:r>
      <w:r w:rsidR="000A4D6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до 102,1% по целевому варианту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Этому будет способствовать стабилизация цен на продовольственные товары, </w:t>
      </w:r>
      <w:r w:rsidR="000A4D65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 также постепенный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рост доходов населения.</w:t>
      </w:r>
    </w:p>
    <w:p w:rsidR="0036104D" w:rsidRPr="00467CBF" w:rsidRDefault="0036104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По состоянию на 01 января 2017 года в городе Когалыме осуществляют свою деятельность 117 предприятий общественного питания, общим количеством посадочных мест 5 493. Из них 56 предприятий общедоступной сети на 2 017 посадочных мест.</w:t>
      </w:r>
    </w:p>
    <w:p w:rsidR="0036104D" w:rsidRPr="00467CBF" w:rsidRDefault="0036104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Обеспеченность посадочными местами на предприятиях общественного питания общедоступной сети в городе Когалыме составила 79% от норматива (при нормативе 40 мест на 1000 жителей число посадочных мест составило31,6)</w:t>
      </w:r>
    </w:p>
    <w:p w:rsidR="0036104D" w:rsidRPr="00467CBF" w:rsidRDefault="0036104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Для более полного удовлетворения потребностей населения города в услугах, оказываемых предприятиями общественного питания, в городе начинают развиваться услуги дополнительного сервиса по предоставлению услуг общественного питания:</w:t>
      </w:r>
    </w:p>
    <w:p w:rsidR="0036104D" w:rsidRPr="00467CBF" w:rsidRDefault="0036104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доставка блюд и кулинарной продукции по заказам потребителей;</w:t>
      </w:r>
    </w:p>
    <w:p w:rsidR="0036104D" w:rsidRPr="00467CBF" w:rsidRDefault="0036104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обеспечение офисов различных предприятий горячими обедами, заказ которых может осуществляться через информационно - телекоммуникационную сеть «Интернет» или по телефону;</w:t>
      </w:r>
    </w:p>
    <w:p w:rsidR="0036104D" w:rsidRPr="00467CBF" w:rsidRDefault="0036104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организация и обеспечение диетическим питанием рабочих и служащих.</w:t>
      </w:r>
    </w:p>
    <w:p w:rsidR="005F31BD" w:rsidRPr="00467CBF" w:rsidRDefault="005F31BD" w:rsidP="0036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B7AD0" w:rsidRPr="00E1082A" w:rsidRDefault="002A3C46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1" w:name="_Toc498075897"/>
      <w:r w:rsidRPr="00E1082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4.2. </w:t>
      </w:r>
      <w:r w:rsidR="009B7AD0" w:rsidRPr="00E1082A">
        <w:rPr>
          <w:rFonts w:ascii="Times New Roman" w:hAnsi="Times New Roman" w:cs="Times New Roman"/>
          <w:b/>
          <w:bCs/>
          <w:color w:val="auto"/>
          <w:sz w:val="26"/>
          <w:szCs w:val="26"/>
        </w:rPr>
        <w:t>Платные услуги</w:t>
      </w:r>
      <w:bookmarkEnd w:id="11"/>
    </w:p>
    <w:p w:rsidR="009B7AD0" w:rsidRPr="00E1082A" w:rsidRDefault="009B7AD0" w:rsidP="005B31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03FD" w:rsidRPr="00E1082A" w:rsidRDefault="005603FD" w:rsidP="005B3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За 201</w:t>
      </w:r>
      <w:r w:rsidR="00752ADE"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населению города оказано платных услуг по всем каналам реализации на сумму </w:t>
      </w:r>
      <w:r w:rsidR="00B31C0F"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3 414,9</w:t>
      </w: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 или </w:t>
      </w:r>
      <w:r w:rsidR="00B31C0F"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97,6</w:t>
      </w: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3E75BA"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в сопоставимых ценах.</w:t>
      </w:r>
    </w:p>
    <w:p w:rsidR="005603FD" w:rsidRPr="00E1082A" w:rsidRDefault="005603FD" w:rsidP="005B3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201</w:t>
      </w:r>
      <w:r w:rsidR="00752ADE"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оценке объем платных услуг во всех секторах реализации, оказываемых населению услуг, </w:t>
      </w:r>
      <w:r w:rsidR="00752ADE"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оценке </w:t>
      </w: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составит </w:t>
      </w:r>
      <w:r w:rsidR="008D7ECC"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3 616,4</w:t>
      </w: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 или </w:t>
      </w:r>
      <w:r w:rsidR="008D7ECC"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101,3</w:t>
      </w: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% в сопоставимых ценах к уровню 201</w:t>
      </w:r>
      <w:r w:rsidR="00752ADE"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В среднесрочной перспективе </w:t>
      </w:r>
      <w:r w:rsidR="00752ADE"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ежегодный те</w:t>
      </w: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мп роста объема платных услуг </w:t>
      </w:r>
      <w:r w:rsidR="00752ADE"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среднем </w:t>
      </w: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составит </w:t>
      </w:r>
      <w:r w:rsidR="007F2263"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 </w:t>
      </w:r>
      <w:r w:rsidR="008D7ECC"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100,8</w:t>
      </w:r>
      <w:r w:rsidR="007F2263"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базовому варианту.</w:t>
      </w:r>
    </w:p>
    <w:p w:rsidR="009B7AD0" w:rsidRPr="00E1082A" w:rsidRDefault="009B7AD0" w:rsidP="009B7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B7AD0" w:rsidRPr="00467CBF" w:rsidRDefault="009B7AD0" w:rsidP="00EF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7ECC">
        <w:rPr>
          <w:rFonts w:ascii="Times New Roman" w:hAnsi="Times New Roman" w:cs="Times New Roman"/>
          <w:noProof/>
          <w:sz w:val="26"/>
          <w:szCs w:val="26"/>
          <w:highlight w:val="yellow"/>
          <w:lang w:eastAsia="ru-RU"/>
        </w:rPr>
        <w:drawing>
          <wp:inline distT="0" distB="0" distL="0" distR="0" wp14:anchorId="1126065E" wp14:editId="7ACF02B6">
            <wp:extent cx="6438900" cy="3276600"/>
            <wp:effectExtent l="0" t="0" r="0" b="0"/>
            <wp:docPr id="6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603FD" w:rsidRPr="00467CBF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прогнозном периоде услуги обязательного характера: жилищно-коммунальные и услуги связи останутся наиболее востребованными, их удельный вес в общем объеме платных услуг, реализованных населению, составит </w:t>
      </w:r>
      <w:r w:rsidR="00534833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более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70,0%.</w:t>
      </w:r>
    </w:p>
    <w:p w:rsidR="005603FD" w:rsidRPr="00467CBF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Сохраняющейся положительной динамике предоставления услуг связи будет способствовать повышение качества предоставляемых услуг, реформирование почтовой связи, внедрение новых форм обслуживания населения. Рост социальной активности населения оказывает положительное влияние на более ин</w:t>
      </w:r>
      <w:r w:rsidR="00B74A4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тенсивный информационный обмен.</w:t>
      </w:r>
    </w:p>
    <w:p w:rsidR="003258C7" w:rsidRPr="00467CBF" w:rsidRDefault="005603FD" w:rsidP="00325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Общими тенденциями развития рынка услуг учреждений культуры, физической культуры и спорта остаются пропаганда здорового образа жизни и повышение качества оказываемых услуг.</w:t>
      </w:r>
    </w:p>
    <w:p w:rsidR="003258C7" w:rsidRPr="00467CBF" w:rsidRDefault="005603FD" w:rsidP="00325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258C7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сформирован и развивается рынок бытовых услуг населению. По состоянию на 01.01.2017 в городе функционирует 34 объекта, в которых 47 предпринимателей оказывают населению города бытовые услуги.</w:t>
      </w:r>
    </w:p>
    <w:p w:rsidR="003258C7" w:rsidRPr="00467CBF" w:rsidRDefault="003258C7" w:rsidP="00325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Главной задачей для предприятий, оказывающих услуги населению, является качественное обслуживание и мастерство персонала. В условиях конкуренции, предприятия уделяют особое внимание совершенствованию технологических процессов: использованию современных технологий, оборудования, качественных материалов, повышению квалификации персонала.</w:t>
      </w:r>
    </w:p>
    <w:p w:rsidR="002A2588" w:rsidRPr="008D7ECC" w:rsidRDefault="005603FD" w:rsidP="008D7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целом, ситуация на рынке платных услуг остается стабильной. Повышение денежных доходов населения будет способствовать сохранению объема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предоставляемых услуг, динамичному развитию и здоровой конкуренции в данной сфере.</w:t>
      </w:r>
    </w:p>
    <w:p w:rsidR="009B7AD0" w:rsidRPr="00467CBF" w:rsidRDefault="002A3C46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2" w:name="_Toc498075898"/>
      <w:r w:rsidRPr="00E1082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4.3. </w:t>
      </w:r>
      <w:r w:rsidR="009B7AD0" w:rsidRPr="00E1082A">
        <w:rPr>
          <w:rFonts w:ascii="Times New Roman" w:hAnsi="Times New Roman" w:cs="Times New Roman"/>
          <w:b/>
          <w:bCs/>
          <w:color w:val="auto"/>
          <w:sz w:val="26"/>
          <w:szCs w:val="26"/>
        </w:rPr>
        <w:t>Агропромышленный комплекс</w:t>
      </w:r>
      <w:bookmarkEnd w:id="12"/>
    </w:p>
    <w:p w:rsidR="009B7AD0" w:rsidRPr="00467CBF" w:rsidRDefault="009B7AD0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6"/>
        </w:rPr>
      </w:pPr>
    </w:p>
    <w:p w:rsidR="0084533C" w:rsidRPr="00467CBF" w:rsidRDefault="0084533C" w:rsidP="00845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Производство сельскохозяйственной продукции в городе Когалыме осуществляют 7 крестьянских (фермерских) хозяйств. Основное направление деятельности данных хозяйств – животноводство, связанное с разведением крупного и мелкого рогатого скота, свиней и птицы.</w:t>
      </w:r>
    </w:p>
    <w:p w:rsidR="0084533C" w:rsidRPr="00467CBF" w:rsidRDefault="0084533C" w:rsidP="008453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 объеме продукции сельского хозяйства в стоимостном выражении в 2015 году животноводство занимает 6</w:t>
      </w:r>
      <w:r w:rsidR="001376EB" w:rsidRPr="00467CBF">
        <w:rPr>
          <w:rFonts w:ascii="Times New Roman" w:hAnsi="Times New Roman" w:cs="Times New Roman"/>
          <w:sz w:val="26"/>
          <w:szCs w:val="26"/>
        </w:rPr>
        <w:t>8</w:t>
      </w:r>
      <w:r w:rsidRPr="00467CBF">
        <w:rPr>
          <w:rFonts w:ascii="Times New Roman" w:hAnsi="Times New Roman" w:cs="Times New Roman"/>
          <w:sz w:val="26"/>
          <w:szCs w:val="26"/>
        </w:rPr>
        <w:t xml:space="preserve">%, растениеводство – </w:t>
      </w:r>
      <w:r w:rsidR="001376EB" w:rsidRPr="00467CBF">
        <w:rPr>
          <w:rFonts w:ascii="Times New Roman" w:hAnsi="Times New Roman" w:cs="Times New Roman"/>
          <w:sz w:val="26"/>
          <w:szCs w:val="26"/>
        </w:rPr>
        <w:t>32</w:t>
      </w:r>
      <w:r w:rsidRPr="00467CBF">
        <w:rPr>
          <w:rFonts w:ascii="Times New Roman" w:hAnsi="Times New Roman" w:cs="Times New Roman"/>
          <w:sz w:val="26"/>
          <w:szCs w:val="26"/>
        </w:rPr>
        <w:t>%. Основными отраслями животноводства являются разведение крупного, мелкого рогатого скота, свиней и птицы.</w:t>
      </w:r>
    </w:p>
    <w:p w:rsidR="0084533C" w:rsidRPr="00467CBF" w:rsidRDefault="0084533C" w:rsidP="00845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За 2016 года наблюдается положительная динамика развития агропромышленного комплекса в городе Когалыме, это отражается следующими показателями:</w:t>
      </w:r>
    </w:p>
    <w:p w:rsidR="0084533C" w:rsidRPr="00467CBF" w:rsidRDefault="0084533C" w:rsidP="00845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производство мяса в живом весе составило 194,8 тонны, что выше на 0,1% объема аналогичного периода прошлого года (в 2015 году – 194,7тонн);</w:t>
      </w:r>
    </w:p>
    <w:p w:rsidR="0084533C" w:rsidRPr="00467CBF" w:rsidRDefault="0084533C" w:rsidP="00845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производство молока составило 91,5 тонн, что выше на 0,1% объема аналогичного периода прошлого года (в 2015 году – 91,4 тонны);</w:t>
      </w:r>
    </w:p>
    <w:p w:rsidR="0084533C" w:rsidRPr="00467CBF" w:rsidRDefault="0084533C" w:rsidP="00845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поголовье крупного и мелкого рогатого скота в городе Когалыме в </w:t>
      </w:r>
      <w:r w:rsidR="001376EB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2016 году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составило 139 голов, что на 61,6% выше показателя </w:t>
      </w:r>
      <w:r w:rsidR="001376EB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2015 года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84533C" w:rsidRPr="00467CBF" w:rsidRDefault="0084533C" w:rsidP="00845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поголовье свиней – 975 голов, что составляет 109,5% к 2015 году.</w:t>
      </w:r>
    </w:p>
    <w:p w:rsidR="001376EB" w:rsidRPr="00467CBF" w:rsidRDefault="0084533C" w:rsidP="00137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целях поддержки и развития сельскохозяйственного производства в городе Когалыме в 2016 году продолжилась 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утвержденной постановлением Администрации города Когалыма от 11.10.2013 №2900 (далее </w:t>
      </w:r>
      <w:r w:rsidR="001376EB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– муниципальная программа АПК). За 2016 года на производство и реализацию продукции животноводства денежные средства освоены в полном объеме.</w:t>
      </w:r>
    </w:p>
    <w:p w:rsidR="001376EB" w:rsidRPr="00467CBF" w:rsidRDefault="001376EB" w:rsidP="001376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 2017 году общий объём финансирования на развитие агропромышленного комплекса, в рамках муниципальной программы, составляет 9 </w:t>
      </w:r>
      <w:r w:rsidR="007B6B5C">
        <w:rPr>
          <w:rFonts w:ascii="Times New Roman" w:hAnsi="Times New Roman" w:cs="Times New Roman"/>
          <w:sz w:val="26"/>
          <w:szCs w:val="26"/>
        </w:rPr>
        <w:t>967</w:t>
      </w:r>
      <w:r w:rsidRPr="00467CBF">
        <w:rPr>
          <w:rFonts w:ascii="Times New Roman" w:hAnsi="Times New Roman" w:cs="Times New Roman"/>
          <w:sz w:val="26"/>
          <w:szCs w:val="26"/>
        </w:rPr>
        <w:t>,0 тыс. рублей, из них:</w:t>
      </w:r>
    </w:p>
    <w:p w:rsidR="001376EB" w:rsidRPr="00467CBF" w:rsidRDefault="007B6B5C" w:rsidP="001376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- 9 017</w:t>
      </w:r>
      <w:r w:rsidR="001376EB" w:rsidRPr="00467CBF">
        <w:rPr>
          <w:rFonts w:ascii="Times New Roman" w:hAnsi="Times New Roman" w:cs="Times New Roman"/>
          <w:sz w:val="26"/>
          <w:szCs w:val="26"/>
        </w:rPr>
        <w:t>,0 тыс. рублей - бюджет Ханты-Мансийского автономного округа – Югры;</w:t>
      </w:r>
    </w:p>
    <w:p w:rsidR="001376EB" w:rsidRPr="00467CBF" w:rsidRDefault="001376EB" w:rsidP="001376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- 950,0 тыс. рублей – средства бюджета города Когалыма.</w:t>
      </w:r>
    </w:p>
    <w:p w:rsidR="00B14EDC" w:rsidRPr="00467CBF" w:rsidRDefault="009B7AD0" w:rsidP="009C3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По оценке, в 201</w:t>
      </w:r>
      <w:r w:rsidR="00296AAA" w:rsidRPr="00467CBF">
        <w:rPr>
          <w:rFonts w:ascii="Times New Roman" w:hAnsi="Times New Roman" w:cs="Times New Roman"/>
          <w:sz w:val="26"/>
          <w:szCs w:val="26"/>
        </w:rPr>
        <w:t>7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производство продукции сельского хозяйства в хозяйствах всех категорий составит </w:t>
      </w:r>
      <w:r w:rsidR="00296AAA" w:rsidRPr="00467CBF">
        <w:rPr>
          <w:rFonts w:ascii="Times New Roman" w:hAnsi="Times New Roman" w:cs="Times New Roman"/>
          <w:sz w:val="26"/>
          <w:szCs w:val="26"/>
        </w:rPr>
        <w:t>62,65</w:t>
      </w:r>
      <w:r w:rsidRPr="00467CBF">
        <w:rPr>
          <w:rFonts w:ascii="Times New Roman" w:hAnsi="Times New Roman" w:cs="Times New Roman"/>
          <w:sz w:val="26"/>
          <w:szCs w:val="26"/>
        </w:rPr>
        <w:t xml:space="preserve"> млн. рублей, или </w:t>
      </w:r>
      <w:r w:rsidR="003E0DB3" w:rsidRPr="00467CBF">
        <w:rPr>
          <w:rFonts w:ascii="Times New Roman" w:hAnsi="Times New Roman" w:cs="Times New Roman"/>
          <w:sz w:val="26"/>
          <w:szCs w:val="26"/>
        </w:rPr>
        <w:t>10</w:t>
      </w:r>
      <w:r w:rsidR="00296AAA" w:rsidRPr="00467CBF">
        <w:rPr>
          <w:rFonts w:ascii="Times New Roman" w:hAnsi="Times New Roman" w:cs="Times New Roman"/>
          <w:sz w:val="26"/>
          <w:szCs w:val="26"/>
        </w:rPr>
        <w:t>0</w:t>
      </w:r>
      <w:r w:rsidRPr="00467CBF">
        <w:rPr>
          <w:rFonts w:ascii="Times New Roman" w:hAnsi="Times New Roman" w:cs="Times New Roman"/>
          <w:sz w:val="26"/>
          <w:szCs w:val="26"/>
        </w:rPr>
        <w:t>% в сопоставимых ценах к уровню 201</w:t>
      </w:r>
      <w:r w:rsidR="00296AAA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года.</w:t>
      </w:r>
      <w:r w:rsidR="009C354D" w:rsidRPr="00467CBF">
        <w:rPr>
          <w:rFonts w:ascii="Times New Roman" w:hAnsi="Times New Roman" w:cs="Times New Roman"/>
          <w:sz w:val="26"/>
          <w:szCs w:val="26"/>
        </w:rPr>
        <w:t xml:space="preserve"> </w:t>
      </w:r>
      <w:r w:rsidR="00B14EDC" w:rsidRPr="00467CBF">
        <w:rPr>
          <w:rFonts w:ascii="Times New Roman" w:hAnsi="Times New Roman" w:cs="Times New Roman"/>
          <w:sz w:val="26"/>
          <w:szCs w:val="26"/>
        </w:rPr>
        <w:t>В прогнозном периоде</w:t>
      </w:r>
      <w:r w:rsidR="002A41D0" w:rsidRPr="00467CBF">
        <w:rPr>
          <w:rFonts w:ascii="Times New Roman" w:hAnsi="Times New Roman" w:cs="Times New Roman"/>
          <w:sz w:val="26"/>
          <w:szCs w:val="26"/>
        </w:rPr>
        <w:t>,</w:t>
      </w:r>
      <w:r w:rsidR="00B14EDC" w:rsidRPr="00467CBF">
        <w:rPr>
          <w:rFonts w:ascii="Times New Roman" w:hAnsi="Times New Roman" w:cs="Times New Roman"/>
          <w:sz w:val="26"/>
          <w:szCs w:val="26"/>
        </w:rPr>
        <w:t xml:space="preserve"> </w:t>
      </w:r>
      <w:r w:rsidR="00296AAA" w:rsidRPr="00467CBF">
        <w:rPr>
          <w:rFonts w:ascii="Times New Roman" w:hAnsi="Times New Roman" w:cs="Times New Roman"/>
          <w:sz w:val="26"/>
          <w:szCs w:val="26"/>
        </w:rPr>
        <w:t>к 2020 году</w:t>
      </w:r>
      <w:r w:rsidR="002A41D0" w:rsidRPr="00467CBF">
        <w:rPr>
          <w:rFonts w:ascii="Times New Roman" w:hAnsi="Times New Roman" w:cs="Times New Roman"/>
          <w:sz w:val="26"/>
          <w:szCs w:val="26"/>
        </w:rPr>
        <w:t>,</w:t>
      </w:r>
      <w:r w:rsidR="00296AAA" w:rsidRPr="00467CBF">
        <w:rPr>
          <w:rFonts w:ascii="Times New Roman" w:hAnsi="Times New Roman" w:cs="Times New Roman"/>
          <w:sz w:val="26"/>
          <w:szCs w:val="26"/>
        </w:rPr>
        <w:t xml:space="preserve"> </w:t>
      </w:r>
      <w:r w:rsidR="00B14EDC" w:rsidRPr="00467CBF">
        <w:rPr>
          <w:rFonts w:ascii="Times New Roman" w:hAnsi="Times New Roman" w:cs="Times New Roman"/>
          <w:sz w:val="26"/>
          <w:szCs w:val="26"/>
        </w:rPr>
        <w:t>ожидается увеличение производства молока до 0,</w:t>
      </w:r>
      <w:r w:rsidR="00B34999" w:rsidRPr="00467CBF">
        <w:rPr>
          <w:rFonts w:ascii="Times New Roman" w:hAnsi="Times New Roman" w:cs="Times New Roman"/>
          <w:sz w:val="26"/>
          <w:szCs w:val="26"/>
        </w:rPr>
        <w:t>09</w:t>
      </w:r>
      <w:r w:rsidR="00296AAA" w:rsidRPr="00467CBF">
        <w:rPr>
          <w:rFonts w:ascii="Times New Roman" w:hAnsi="Times New Roman" w:cs="Times New Roman"/>
          <w:sz w:val="26"/>
          <w:szCs w:val="26"/>
        </w:rPr>
        <w:t>3</w:t>
      </w:r>
      <w:r w:rsidR="00B14EDC" w:rsidRPr="00467CBF">
        <w:rPr>
          <w:rFonts w:ascii="Times New Roman" w:hAnsi="Times New Roman" w:cs="Times New Roman"/>
          <w:sz w:val="26"/>
          <w:szCs w:val="26"/>
        </w:rPr>
        <w:t xml:space="preserve"> тыс. тонн, мяса – до 0,</w:t>
      </w:r>
      <w:r w:rsidR="002A41D0" w:rsidRPr="00467CBF">
        <w:rPr>
          <w:rFonts w:ascii="Times New Roman" w:hAnsi="Times New Roman" w:cs="Times New Roman"/>
          <w:sz w:val="26"/>
          <w:szCs w:val="26"/>
        </w:rPr>
        <w:t xml:space="preserve">2 </w:t>
      </w:r>
      <w:r w:rsidR="00B14EDC" w:rsidRPr="00467CBF">
        <w:rPr>
          <w:rFonts w:ascii="Times New Roman" w:hAnsi="Times New Roman" w:cs="Times New Roman"/>
          <w:sz w:val="26"/>
          <w:szCs w:val="26"/>
        </w:rPr>
        <w:t xml:space="preserve">тыс. тонн по </w:t>
      </w:r>
      <w:r w:rsidR="00B34999" w:rsidRPr="00467CBF">
        <w:rPr>
          <w:rFonts w:ascii="Times New Roman" w:hAnsi="Times New Roman" w:cs="Times New Roman"/>
          <w:sz w:val="26"/>
          <w:szCs w:val="26"/>
        </w:rPr>
        <w:t>базовому</w:t>
      </w:r>
      <w:r w:rsidR="00B14EDC" w:rsidRPr="00467CBF">
        <w:rPr>
          <w:rFonts w:ascii="Times New Roman" w:hAnsi="Times New Roman" w:cs="Times New Roman"/>
          <w:sz w:val="26"/>
          <w:szCs w:val="26"/>
        </w:rPr>
        <w:t xml:space="preserve"> варианту</w:t>
      </w:r>
      <w:r w:rsidR="002A41D0" w:rsidRPr="00467CBF">
        <w:rPr>
          <w:rFonts w:ascii="Times New Roman" w:hAnsi="Times New Roman" w:cs="Times New Roman"/>
          <w:sz w:val="26"/>
          <w:szCs w:val="26"/>
        </w:rPr>
        <w:t xml:space="preserve"> (в 2017 году – 0,092 и 0,196 соответственно)</w:t>
      </w:r>
      <w:r w:rsidR="00B14EDC" w:rsidRPr="00467CBF">
        <w:rPr>
          <w:rFonts w:ascii="Times New Roman" w:hAnsi="Times New Roman" w:cs="Times New Roman"/>
          <w:sz w:val="26"/>
          <w:szCs w:val="26"/>
        </w:rPr>
        <w:t>. Производство овощей во всех категориях хозяйств в 201</w:t>
      </w:r>
      <w:r w:rsidR="002A41D0" w:rsidRPr="00467CBF">
        <w:rPr>
          <w:rFonts w:ascii="Times New Roman" w:hAnsi="Times New Roman" w:cs="Times New Roman"/>
          <w:sz w:val="26"/>
          <w:szCs w:val="26"/>
        </w:rPr>
        <w:t>7</w:t>
      </w:r>
      <w:r w:rsidR="00B14EDC" w:rsidRPr="00467CBF">
        <w:rPr>
          <w:rFonts w:ascii="Times New Roman" w:hAnsi="Times New Roman" w:cs="Times New Roman"/>
          <w:sz w:val="26"/>
          <w:szCs w:val="26"/>
        </w:rPr>
        <w:t xml:space="preserve"> году</w:t>
      </w:r>
      <w:r w:rsidR="00B34999" w:rsidRPr="00467CBF">
        <w:rPr>
          <w:rFonts w:ascii="Times New Roman" w:hAnsi="Times New Roman" w:cs="Times New Roman"/>
          <w:sz w:val="26"/>
          <w:szCs w:val="26"/>
        </w:rPr>
        <w:t xml:space="preserve"> увеличится на </w:t>
      </w:r>
      <w:r w:rsidR="002A41D0" w:rsidRPr="00467CBF">
        <w:rPr>
          <w:rFonts w:ascii="Times New Roman" w:hAnsi="Times New Roman" w:cs="Times New Roman"/>
          <w:sz w:val="26"/>
          <w:szCs w:val="26"/>
        </w:rPr>
        <w:t>8</w:t>
      </w:r>
      <w:r w:rsidR="00B34999" w:rsidRPr="00467CBF">
        <w:rPr>
          <w:rFonts w:ascii="Times New Roman" w:hAnsi="Times New Roman" w:cs="Times New Roman"/>
          <w:sz w:val="26"/>
          <w:szCs w:val="26"/>
        </w:rPr>
        <w:t>% к уровню 201</w:t>
      </w:r>
      <w:r w:rsidR="002A41D0" w:rsidRPr="00467CBF">
        <w:rPr>
          <w:rFonts w:ascii="Times New Roman" w:hAnsi="Times New Roman" w:cs="Times New Roman"/>
          <w:sz w:val="26"/>
          <w:szCs w:val="26"/>
        </w:rPr>
        <w:t>6 года, в</w:t>
      </w:r>
      <w:r w:rsidR="00B14EDC" w:rsidRPr="00467CBF">
        <w:rPr>
          <w:rFonts w:ascii="Times New Roman" w:hAnsi="Times New Roman" w:cs="Times New Roman"/>
          <w:sz w:val="26"/>
          <w:szCs w:val="26"/>
        </w:rPr>
        <w:t xml:space="preserve"> прогнозном периоде </w:t>
      </w:r>
      <w:r w:rsidR="002A41D0" w:rsidRPr="00467CBF">
        <w:rPr>
          <w:rFonts w:ascii="Times New Roman" w:hAnsi="Times New Roman" w:cs="Times New Roman"/>
          <w:sz w:val="26"/>
          <w:szCs w:val="26"/>
        </w:rPr>
        <w:t xml:space="preserve">объем </w:t>
      </w:r>
      <w:r w:rsidR="00FC3948" w:rsidRPr="00467CBF">
        <w:rPr>
          <w:rFonts w:ascii="Times New Roman" w:hAnsi="Times New Roman" w:cs="Times New Roman"/>
          <w:sz w:val="26"/>
          <w:szCs w:val="26"/>
        </w:rPr>
        <w:t>сохраниться на уровне 2018 года</w:t>
      </w:r>
      <w:r w:rsidR="007448BF" w:rsidRPr="00467CBF">
        <w:rPr>
          <w:rFonts w:ascii="Times New Roman" w:hAnsi="Times New Roman" w:cs="Times New Roman"/>
          <w:sz w:val="26"/>
          <w:szCs w:val="26"/>
        </w:rPr>
        <w:t>.</w:t>
      </w:r>
    </w:p>
    <w:p w:rsidR="009B7AD0" w:rsidRPr="00467CBF" w:rsidRDefault="002248E9" w:rsidP="005B3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 20</w:t>
      </w:r>
      <w:r w:rsidR="002A41D0" w:rsidRPr="00467CBF">
        <w:rPr>
          <w:rFonts w:ascii="Times New Roman" w:hAnsi="Times New Roman" w:cs="Times New Roman"/>
          <w:sz w:val="26"/>
          <w:szCs w:val="26"/>
        </w:rPr>
        <w:t>20</w:t>
      </w:r>
      <w:r w:rsidR="009B7AD0" w:rsidRPr="00467CBF">
        <w:rPr>
          <w:rFonts w:ascii="Times New Roman" w:hAnsi="Times New Roman" w:cs="Times New Roman"/>
          <w:sz w:val="26"/>
          <w:szCs w:val="26"/>
        </w:rPr>
        <w:t xml:space="preserve"> году производство продукции сельского хозяйства во всех категориях хозяйств по </w:t>
      </w:r>
      <w:r w:rsidR="007448BF" w:rsidRPr="00467CBF">
        <w:rPr>
          <w:rFonts w:ascii="Times New Roman" w:hAnsi="Times New Roman" w:cs="Times New Roman"/>
          <w:sz w:val="26"/>
          <w:szCs w:val="26"/>
        </w:rPr>
        <w:t>базовому</w:t>
      </w:r>
      <w:r w:rsidR="009B7AD0" w:rsidRPr="00467CBF">
        <w:rPr>
          <w:rFonts w:ascii="Times New Roman" w:hAnsi="Times New Roman" w:cs="Times New Roman"/>
          <w:sz w:val="26"/>
          <w:szCs w:val="26"/>
        </w:rPr>
        <w:t xml:space="preserve"> варианту развития на сумму </w:t>
      </w:r>
      <w:r w:rsidR="002A41D0" w:rsidRPr="00467CBF">
        <w:rPr>
          <w:rFonts w:ascii="Times New Roman" w:hAnsi="Times New Roman" w:cs="Times New Roman"/>
          <w:sz w:val="26"/>
          <w:szCs w:val="26"/>
        </w:rPr>
        <w:t>68,53</w:t>
      </w:r>
      <w:r w:rsidR="009B7AD0" w:rsidRPr="00467CBF">
        <w:rPr>
          <w:rFonts w:ascii="Times New Roman" w:hAnsi="Times New Roman" w:cs="Times New Roman"/>
          <w:sz w:val="26"/>
          <w:szCs w:val="26"/>
        </w:rPr>
        <w:t xml:space="preserve"> млн. рублей (</w:t>
      </w:r>
      <w:r w:rsidR="002A41D0" w:rsidRPr="00467CBF">
        <w:rPr>
          <w:rFonts w:ascii="Times New Roman" w:hAnsi="Times New Roman" w:cs="Times New Roman"/>
          <w:sz w:val="26"/>
          <w:szCs w:val="26"/>
        </w:rPr>
        <w:t>109,4</w:t>
      </w:r>
      <w:r w:rsidR="00334E74" w:rsidRPr="00467CBF">
        <w:rPr>
          <w:rFonts w:ascii="Times New Roman" w:hAnsi="Times New Roman" w:cs="Times New Roman"/>
          <w:sz w:val="26"/>
          <w:szCs w:val="26"/>
        </w:rPr>
        <w:t>% к уровню 201</w:t>
      </w:r>
      <w:r w:rsidR="002A41D0" w:rsidRPr="00467CBF">
        <w:rPr>
          <w:rFonts w:ascii="Times New Roman" w:hAnsi="Times New Roman" w:cs="Times New Roman"/>
          <w:sz w:val="26"/>
          <w:szCs w:val="26"/>
        </w:rPr>
        <w:t>7</w:t>
      </w:r>
      <w:r w:rsidR="009B7AD0" w:rsidRPr="00467CBF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2A41D0" w:rsidRPr="00467CBF">
        <w:rPr>
          <w:rFonts w:ascii="Times New Roman" w:hAnsi="Times New Roman" w:cs="Times New Roman"/>
          <w:sz w:val="26"/>
          <w:szCs w:val="26"/>
        </w:rPr>
        <w:t>действующих ценах</w:t>
      </w:r>
      <w:r w:rsidR="009B7AD0" w:rsidRPr="00467CBF">
        <w:rPr>
          <w:rFonts w:ascii="Times New Roman" w:hAnsi="Times New Roman" w:cs="Times New Roman"/>
          <w:sz w:val="26"/>
          <w:szCs w:val="26"/>
        </w:rPr>
        <w:t>).</w:t>
      </w:r>
    </w:p>
    <w:p w:rsidR="00FF51B9" w:rsidRPr="00467CBF" w:rsidRDefault="00FF51B9" w:rsidP="005B31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5A30" w:rsidRPr="00467CBF" w:rsidRDefault="00BF0565" w:rsidP="005B312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13" w:name="_Toc498075899"/>
      <w:r w:rsidRPr="00467C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5. УРОВЕНЬ ЖИЗНИ НАСЕЛЕНИЯ</w:t>
      </w:r>
      <w:bookmarkEnd w:id="13"/>
    </w:p>
    <w:p w:rsidR="009D50D6" w:rsidRPr="00467CBF" w:rsidRDefault="009D50D6" w:rsidP="005B31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7CBF" w:rsidRPr="00E1082A" w:rsidRDefault="00467CBF" w:rsidP="0046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Стабильность уровня жизни населения города Когалыма будет обеспечиваться, прежде всего, перспективами развития экономики, ёмкостью рынка труда, высоким уровнем заработной платы и мерами социальной поддержки. </w:t>
      </w:r>
    </w:p>
    <w:p w:rsidR="00467CBF" w:rsidRPr="00E1082A" w:rsidRDefault="00467CBF" w:rsidP="0046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В перспективе сохранится тенденция роста среднемесячной заработной платы как основного источника в структуре доходов населения (около 80%). Вместе с тем рост номинальной начисленной заработной платы будет адекватен реальной финансовой ситуации работодателей.</w:t>
      </w:r>
    </w:p>
    <w:p w:rsidR="00467CBF" w:rsidRPr="00E1082A" w:rsidRDefault="00467CBF" w:rsidP="0046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По оценке размер номинальной заработной платы в 2017 году составит   63,43 тыс. рублей (106,3% к уровню 2016 года), в среднесрочной перспективе прогнозируется рост: 104,5% в 2018 году, 104,4% в 2019 году, 103,9% в 2020 году по базовому варианту.</w:t>
      </w:r>
    </w:p>
    <w:p w:rsidR="00467CBF" w:rsidRPr="00E1082A" w:rsidRDefault="00467CBF" w:rsidP="0046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Система мер социальной поддержки, выплата стипендий, региональных надбавок к пенсиям гарантируют стабильность, доля таких доходов в общем объеме в среднем свыше 15,0%.</w:t>
      </w:r>
    </w:p>
    <w:p w:rsidR="00467CBF" w:rsidRPr="00E1082A" w:rsidRDefault="00467CBF" w:rsidP="0046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С учетом темпов роста инфляции рост реальной заработной платы в 2017 году ожидается на уровне 2,2%. При этом фиксирование ежегодного уровня инфляции на отметке 104%, в среднесрочной перспективе позволит сохранить реальную зарплату на уровне в среднем 102,2%.</w:t>
      </w:r>
    </w:p>
    <w:p w:rsidR="00467CBF" w:rsidRPr="00E1082A" w:rsidRDefault="00467CBF" w:rsidP="0046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Рост реальных располагаемых доходов населения прогнозируется до 100,8% в 2020 году по базовому варианту. В 2017 году реальные располагаемые доходы населения по оценке составят 95,9% к предыдущему году. Рост доходов населения в среднесрочном периоде будет идти умеренными темпами. По предварительной оценке, за период 2018 - 2020 годы номинальная заработная плата увеличится на 13,3%, среднедушевые денежные доходы населения - на 9,7% по базовому варианту. </w:t>
      </w:r>
    </w:p>
    <w:p w:rsidR="00467CBF" w:rsidRPr="00E1082A" w:rsidRDefault="00467CBF" w:rsidP="0046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По оценочным данным средний размер государственной пенсии в 2017 году составит 19 668,7 рублей или 102,1% к уровню 2016 года в реальном выражении. В прогнозном периоде средний размер государственной пенсии повысится с 20 062,1 рублей в 2018 году до 21 098,3 рублей в 2020 году.</w:t>
      </w:r>
    </w:p>
    <w:p w:rsidR="00467CBF" w:rsidRPr="00E1082A" w:rsidRDefault="00467CBF" w:rsidP="0046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Когалыме органы местного самоуправления совместными усилиями с Правительством автономного округа, муниципальными учреждениями обеспечивают решение задачи по доведению заработной платы отдельных категорий работников до целевого ориентира, обозначенного Указом Президента Российской Федерации №597 от 7 мая 2012 года «О мероприятиях по реализации государственной социальной политики».</w:t>
      </w:r>
    </w:p>
    <w:p w:rsidR="00467CBF" w:rsidRPr="00674E51" w:rsidRDefault="00467CBF" w:rsidP="0046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В результате предпринятых мер размер среднемесячной заработной платы работников бюджетных учреждений за январь-декабрь 2016 года в сравнении с аналогичным периодом 2015 года составил:</w:t>
      </w:r>
    </w:p>
    <w:p w:rsidR="00467CBF" w:rsidRPr="00674E51" w:rsidRDefault="00D8129F" w:rsidP="00467CBF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lastRenderedPageBreak/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Выгнутая влево стрелка 1" o:spid="_x0000_s1030" type="#_x0000_t102" style="position:absolute;left:0;text-align:left;margin-left:344.6pt;margin-top:193.15pt;width:23.3pt;height:30.3pt;rotation:-11411118fd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" adj="12830,19407,16200" fillcolor="#09f" strokecolor="blue" strokeweight="2pt"/>
        </w:pict>
      </w:r>
      <w:r>
        <w:rPr>
          <w:noProof/>
          <w:sz w:val="26"/>
          <w:szCs w:val="26"/>
          <w:lang w:eastAsia="ru-RU"/>
        </w:rPr>
        <w:pict>
          <v:shape id="Выгнутая влево стрелка 14" o:spid="_x0000_s1029" type="#_x0000_t102" style="position:absolute;left:0;text-align:left;margin-left:335.45pt;margin-top:30.95pt;width:23.3pt;height:30.3pt;rotation:180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" adj="12830,19407,16200" fillcolor="#09f" strokecolor="blue" strokeweight="2pt"/>
        </w:pict>
      </w:r>
      <w:r>
        <w:rPr>
          <w:noProof/>
          <w:sz w:val="26"/>
          <w:szCs w:val="26"/>
          <w:lang w:eastAsia="ru-RU"/>
        </w:rPr>
        <w:pict>
          <v:shape id="Выгнутая влево стрелка 13" o:spid="_x0000_s1031" type="#_x0000_t102" style="position:absolute;left:0;text-align:left;margin-left:331.7pt;margin-top:138.55pt;width:36.2pt;height:38.4pt;rotation:-10983934fd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" adj="12830,19407,16200" fillcolor="#09f" strokecolor="blue" strokeweight="2pt"/>
        </w:pict>
      </w:r>
      <w:r w:rsidR="00467CBF" w:rsidRPr="00674E51">
        <w:rPr>
          <w:noProof/>
          <w:sz w:val="26"/>
          <w:szCs w:val="26"/>
          <w:lang w:eastAsia="ru-RU"/>
        </w:rPr>
        <w:drawing>
          <wp:inline distT="0" distB="0" distL="0" distR="0" wp14:anchorId="72A7F3A7" wp14:editId="303B5151">
            <wp:extent cx="6238875" cy="3419475"/>
            <wp:effectExtent l="19050" t="0" r="0" b="0"/>
            <wp:docPr id="1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67CBF" w:rsidRPr="00E1082A" w:rsidRDefault="00467CBF" w:rsidP="0046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оценке расходы населения в 2017 году составят 28 215,0 млн. рублей, или 103,4% к уровню 2016 года. В последующие годы среднегодовой темп прироста расходов планируется в среднем на уровне 3,6% по базовому варианту. </w:t>
      </w:r>
    </w:p>
    <w:p w:rsidR="00467CBF" w:rsidRPr="00674E51" w:rsidRDefault="00467CBF" w:rsidP="0046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082A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Основные направления использования денежных средств – затраты на покупку товаров и оплату услуг.</w:t>
      </w:r>
    </w:p>
    <w:p w:rsidR="009D50D6" w:rsidRPr="00467CBF" w:rsidRDefault="009D50D6" w:rsidP="005B3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A23A4" w:rsidRPr="00467CBF" w:rsidRDefault="007A23A4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4288" w:rsidRPr="00467CBF" w:rsidRDefault="00BF0565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4" w:name="_Toc498075900"/>
      <w:r w:rsidRPr="00467CBF">
        <w:rPr>
          <w:rFonts w:ascii="Times New Roman" w:hAnsi="Times New Roman" w:cs="Times New Roman"/>
          <w:b/>
          <w:bCs/>
          <w:color w:val="auto"/>
          <w:sz w:val="26"/>
          <w:szCs w:val="26"/>
        </w:rPr>
        <w:t>6. ТРУД И ЗАНЯТОСТЬ</w:t>
      </w:r>
      <w:bookmarkEnd w:id="14"/>
    </w:p>
    <w:p w:rsidR="00724288" w:rsidRPr="00467CBF" w:rsidRDefault="00724288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79A6" w:rsidRPr="00467CBF" w:rsidRDefault="005F79A6" w:rsidP="005B3126">
      <w:pPr>
        <w:pStyle w:val="a7"/>
        <w:spacing w:after="0"/>
        <w:ind w:left="0" w:firstLine="720"/>
        <w:jc w:val="both"/>
        <w:rPr>
          <w:sz w:val="26"/>
          <w:szCs w:val="26"/>
        </w:rPr>
      </w:pPr>
      <w:r w:rsidRPr="00467CBF">
        <w:rPr>
          <w:sz w:val="26"/>
          <w:szCs w:val="26"/>
        </w:rPr>
        <w:t xml:space="preserve">На развитие сферы занятости в прогнозном периоде будет оказывать влияние развитие экономической ситуации в стране, демографические факторы, потребность работодателей в рабочей силе, а также эффективность реализации мер по регулированию ситуации на рынке труда. </w:t>
      </w:r>
    </w:p>
    <w:p w:rsidR="005F79A6" w:rsidRPr="00467CBF" w:rsidRDefault="005F79A6" w:rsidP="005B3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Трудовые ресурсы города в 2</w:t>
      </w:r>
      <w:r w:rsidR="007A3CE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01</w:t>
      </w:r>
      <w:r w:rsidR="00EE1B87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7A3CE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оценке составят </w:t>
      </w:r>
      <w:r w:rsidR="00EE1B87" w:rsidRPr="005F3373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5F3373" w:rsidRPr="005F3373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EE1B87" w:rsidRPr="005F3373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5F3373" w:rsidRPr="005F3373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Pr="005F337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человек или </w:t>
      </w:r>
      <w:r w:rsidR="00571843">
        <w:rPr>
          <w:rFonts w:ascii="Times New Roman" w:eastAsia="Calibri" w:hAnsi="Times New Roman" w:cs="Times New Roman"/>
          <w:sz w:val="26"/>
          <w:szCs w:val="26"/>
          <w:lang w:eastAsia="ru-RU"/>
        </w:rPr>
        <w:t>100,1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EE1B87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В прогнозном периоде планируется увел</w:t>
      </w:r>
      <w:r w:rsidR="007A3CE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ичение трудовых ресурсов </w:t>
      </w:r>
      <w:r w:rsidR="00EE1B87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2020 году </w:t>
      </w:r>
      <w:r w:rsidR="007A3CE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 </w:t>
      </w:r>
      <w:r w:rsidR="00EE1B87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571843">
        <w:rPr>
          <w:rFonts w:ascii="Times New Roman" w:eastAsia="Calibri" w:hAnsi="Times New Roman" w:cs="Times New Roman"/>
          <w:sz w:val="26"/>
          <w:szCs w:val="26"/>
          <w:lang w:eastAsia="ru-RU"/>
        </w:rPr>
        <w:t>4,1</w:t>
      </w:r>
      <w:r w:rsidR="00EE1B87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тыс. человек по </w:t>
      </w:r>
      <w:r w:rsidR="00456C72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базовому варианту и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B1A7F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 </w:t>
      </w:r>
      <w:r w:rsidR="00EE1B87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44,</w:t>
      </w:r>
      <w:r w:rsidR="00571843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– по </w:t>
      </w:r>
      <w:r w:rsidR="00456C72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целевому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варианту.</w:t>
      </w:r>
    </w:p>
    <w:p w:rsidR="005F79A6" w:rsidRPr="00467CBF" w:rsidRDefault="005F79A6" w:rsidP="005F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Среднегодовая численность занятых в экономике города в 2</w:t>
      </w:r>
      <w:r w:rsidR="007A3CE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01</w:t>
      </w:r>
      <w:r w:rsidR="00EE1B87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7A3CE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оценке составит </w:t>
      </w:r>
      <w:r w:rsidR="001458BA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35,</w:t>
      </w:r>
      <w:r w:rsidR="00571843">
        <w:rPr>
          <w:rFonts w:ascii="Times New Roman" w:eastAsia="Calibri" w:hAnsi="Times New Roman" w:cs="Times New Roman"/>
          <w:sz w:val="26"/>
          <w:szCs w:val="26"/>
          <w:lang w:eastAsia="ru-RU"/>
        </w:rPr>
        <w:t>50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</w:t>
      </w:r>
      <w:r w:rsidR="007A3CE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или </w:t>
      </w:r>
      <w:r w:rsidR="00571843">
        <w:rPr>
          <w:rFonts w:ascii="Times New Roman" w:eastAsia="Calibri" w:hAnsi="Times New Roman" w:cs="Times New Roman"/>
          <w:sz w:val="26"/>
          <w:szCs w:val="26"/>
          <w:lang w:eastAsia="ru-RU"/>
        </w:rPr>
        <w:t>100,6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BC545D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В 201</w:t>
      </w:r>
      <w:r w:rsidR="00BC545D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-201</w:t>
      </w:r>
      <w:r w:rsidR="00BC545D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годах наблюдается снижение среднесписочной численности работающих на крупных и средних организациях города, так в 201</w:t>
      </w:r>
      <w:r w:rsidR="00BC545D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снижение составило </w:t>
      </w:r>
      <w:r w:rsidR="0077517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99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% к 20</w:t>
      </w:r>
      <w:r w:rsidR="0077517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15 году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Наибольшее снижение численности работающих </w:t>
      </w:r>
      <w:r w:rsidR="0077517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уровню 2016 года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отмечено </w:t>
      </w:r>
      <w:r w:rsidR="0077517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 сфере «Оптовая и розничная торговля, ремонт автотранспортных средств, мотоциклов, бытовых изделий и предметов личного пользования» - 83%, на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предприятиях отрасли </w:t>
      </w:r>
      <w:r w:rsidR="000842CB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77517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Операции с недвижимым имуществом, аренда и предоставление услуг</w:t>
      </w:r>
      <w:r w:rsidR="000842CB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» -</w:t>
      </w:r>
      <w:r w:rsidR="0077517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94,5%, поскольку в этих направлениях наибольшее </w:t>
      </w:r>
      <w:r w:rsidR="0077517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развитие осуществляется традиционно в с сегменте малого и среднего предпринимательства.</w:t>
      </w:r>
    </w:p>
    <w:p w:rsidR="005F79A6" w:rsidRPr="00467CBF" w:rsidRDefault="005F79A6" w:rsidP="005F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 прогнозном периоде предполагается рост среднегодовой численности за</w:t>
      </w:r>
      <w:r w:rsidR="007A3CE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нятых в экономике города до </w:t>
      </w:r>
      <w:r w:rsidR="0077517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36,</w:t>
      </w:r>
      <w:r w:rsidR="00571843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77517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к 2020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</w:t>
      </w:r>
      <w:r w:rsidR="007A3CE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условиях </w:t>
      </w:r>
      <w:r w:rsidR="00562BA3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базового</w:t>
      </w:r>
      <w:r w:rsidR="007A3CE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варианта и до </w:t>
      </w:r>
      <w:r w:rsidR="0077517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36,</w:t>
      </w:r>
      <w:r w:rsidR="00571843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в условиях </w:t>
      </w:r>
      <w:r w:rsidR="00562BA3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целевого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варианта. </w:t>
      </w:r>
    </w:p>
    <w:p w:rsidR="00750CD8" w:rsidRPr="00467CBF" w:rsidRDefault="00CC63D5" w:rsidP="005F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Показатель среднемесячной номинальной начисленной заработной платы в 201</w:t>
      </w:r>
      <w:r w:rsidR="0077517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и в прогнозном периоде рас</w:t>
      </w:r>
      <w:r w:rsidR="00750CD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читан с учетом всех предприятий и организаций города Когалыма</w:t>
      </w:r>
      <w:r w:rsidR="00750CD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состав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ит</w:t>
      </w:r>
      <w:r w:rsidR="00750CD8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="001C60A0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D7B46" w:rsidRPr="00823CBE">
        <w:rPr>
          <w:rFonts w:ascii="Times New Roman" w:eastAsia="Calibri" w:hAnsi="Times New Roman" w:cs="Times New Roman"/>
          <w:sz w:val="26"/>
          <w:szCs w:val="26"/>
          <w:lang w:eastAsia="ru-RU"/>
        </w:rPr>
        <w:t>63</w:t>
      </w:r>
      <w:r w:rsidR="00571843" w:rsidRPr="00823C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 427 </w:t>
      </w:r>
      <w:r w:rsidR="001C60A0" w:rsidRPr="00823CBE">
        <w:rPr>
          <w:rFonts w:ascii="Times New Roman" w:eastAsia="Calibri" w:hAnsi="Times New Roman" w:cs="Times New Roman"/>
          <w:sz w:val="26"/>
          <w:szCs w:val="26"/>
          <w:lang w:eastAsia="ru-RU"/>
        </w:rPr>
        <w:t>рубл</w:t>
      </w:r>
      <w:r w:rsidR="00571843" w:rsidRPr="00823CBE">
        <w:rPr>
          <w:rFonts w:ascii="Times New Roman" w:eastAsia="Calibri" w:hAnsi="Times New Roman" w:cs="Times New Roman"/>
          <w:sz w:val="26"/>
          <w:szCs w:val="26"/>
          <w:lang w:eastAsia="ru-RU"/>
        </w:rPr>
        <w:t>ей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(2016 год – 60 335 рублей)</w:t>
      </w:r>
      <w:r w:rsidR="001C60A0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. В прогнозном периоде среднемесячная заработная плата по городу Когалыму увеличится и к 20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1C60A0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составит 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71 </w:t>
      </w:r>
      <w:r w:rsidR="00571843">
        <w:rPr>
          <w:rFonts w:ascii="Times New Roman" w:eastAsia="Calibri" w:hAnsi="Times New Roman" w:cs="Times New Roman"/>
          <w:sz w:val="26"/>
          <w:szCs w:val="26"/>
          <w:lang w:eastAsia="ru-RU"/>
        </w:rPr>
        <w:t>864</w:t>
      </w:r>
      <w:r w:rsidR="00A00D8D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C60A0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рубл</w:t>
      </w:r>
      <w:r w:rsidR="00571843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1C60A0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</w:t>
      </w:r>
      <w:r w:rsidR="00CB7513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базовому</w:t>
      </w:r>
      <w:r w:rsidR="001C60A0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варианту.</w:t>
      </w:r>
    </w:p>
    <w:p w:rsidR="005F79A6" w:rsidRPr="00467CBF" w:rsidRDefault="005F79A6" w:rsidP="005F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Количество безработных, официально зарегистрированных в органах службы занятости, 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конец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201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оценке составит 0,</w:t>
      </w:r>
      <w:r w:rsidR="00B75BA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(по состоянию на 1 января 2017 года численность безработных, имеющих официальный статус безработного составляла 0,125 тыс. человек).</w:t>
      </w:r>
    </w:p>
    <w:p w:rsidR="002D7B46" w:rsidRPr="00467CBF" w:rsidRDefault="005F79A6" w:rsidP="005F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Уровень зарегистрированной безработицы </w:t>
      </w:r>
      <w:r w:rsidR="007A3CE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 201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7A3CE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составит </w:t>
      </w:r>
      <w:r w:rsidR="00B75BA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0,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38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% от экономически активного населения (201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– 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0,34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), в среднесрочном периоде данный показател</w:t>
      </w:r>
      <w:r w:rsidR="007A3CEC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ь предполагается снизить до 0,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33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 по </w:t>
      </w:r>
      <w:r w:rsidR="00F8616B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базовому варианту </w:t>
      </w:r>
      <w:r w:rsidR="002D7B46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2020 году. </w:t>
      </w:r>
    </w:p>
    <w:p w:rsidR="002D7B46" w:rsidRPr="00467CBF" w:rsidRDefault="002D7B46" w:rsidP="002D7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Заявленная работодателями в </w:t>
      </w:r>
      <w:r w:rsidR="00DA0B34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казенное учреждение Ханты-Мансийского автономного округа – Югры «Когалымский центр занятости населения» (далее – Центр занятости)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потребность в </w:t>
      </w:r>
      <w:r w:rsidR="00DA0B34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работниках,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DA0B34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конец 2016 года</w:t>
      </w:r>
      <w:r w:rsidR="00DA0B34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составила 676 человек, что на 235 рабочих мест больше, чем за </w:t>
      </w:r>
      <w:r w:rsidR="00DA0B34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2015 год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. В структуре заявленных вакансий 67,5%-рабочие профессии.</w:t>
      </w:r>
    </w:p>
    <w:p w:rsidR="005F79A6" w:rsidRPr="00467CBF" w:rsidRDefault="005F79A6" w:rsidP="005F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реализации мероприятий по содействию занятости населения и стабилизации ситуации на рынке труда, Центр</w:t>
      </w:r>
      <w:r w:rsidR="00DA0B34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ом занятости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постоянном режиме ведется работа с работодателями города Когалыма.</w:t>
      </w:r>
    </w:p>
    <w:p w:rsidR="005F79A6" w:rsidRPr="00467CBF" w:rsidRDefault="005F79A6" w:rsidP="005F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мероприятиями, содействующими трудоустройству безработных граждан, являются:</w:t>
      </w:r>
    </w:p>
    <w:p w:rsidR="005F79A6" w:rsidRPr="00467CBF" w:rsidRDefault="005F79A6" w:rsidP="005F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общественные работы;</w:t>
      </w:r>
    </w:p>
    <w:p w:rsidR="005F79A6" w:rsidRPr="00467CBF" w:rsidRDefault="005F79A6" w:rsidP="00AE6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временное трудоустройство граждан, испытывающих трудности в поиске работы;</w:t>
      </w:r>
    </w:p>
    <w:p w:rsidR="005F79A6" w:rsidRPr="00467CBF" w:rsidRDefault="005F79A6" w:rsidP="00AE6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трудоустройство несовершеннолетних граждан;</w:t>
      </w:r>
    </w:p>
    <w:p w:rsidR="005F79A6" w:rsidRPr="00467CBF" w:rsidRDefault="005F79A6" w:rsidP="00AE6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организация ярмарок вакансий рабочих мест;</w:t>
      </w:r>
    </w:p>
    <w:p w:rsidR="005F79A6" w:rsidRPr="00467CBF" w:rsidRDefault="005F79A6" w:rsidP="00AE6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профессиональное обучение;</w:t>
      </w:r>
    </w:p>
    <w:p w:rsidR="005F79A6" w:rsidRPr="00467CBF" w:rsidRDefault="005F79A6" w:rsidP="00AE6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профессиональная профориентация;</w:t>
      </w:r>
    </w:p>
    <w:p w:rsidR="005F79A6" w:rsidRPr="00467CBF" w:rsidRDefault="005F79A6" w:rsidP="00AE6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содействие трудоустройству незанятых инвалидов, одиноких родителей, воспитывающих детей-инвалидов, многодетных родителей, через создание дополнительных постоянных рабочих мест.</w:t>
      </w:r>
    </w:p>
    <w:p w:rsidR="00231341" w:rsidRPr="00467CBF" w:rsidRDefault="00231341" w:rsidP="00231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целях содействия повышения занятости населения, развития продуктивной занятости молодых граждан в городе Когалыме, сдерживания роста безработицы и снижения напряжённости на рынке труда, в городе продолжается реализация муниципальной программы «Содействие занятости населения города Когалыма» (утверждена постановлением Администрации города Когалыма от 11.10.2013 №2901, далее – Программа СЗН). Для реализации мероприятий Программы СЗН в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городе Когалыме на 2017 год запланированы средства в размере 23 645,30 тыс. рублей, из них:</w:t>
      </w:r>
    </w:p>
    <w:p w:rsidR="00231341" w:rsidRPr="00467CBF" w:rsidRDefault="00231341" w:rsidP="00231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- 6 887,20 тыс. рублей - средства бюджета Ханты-Мансийского автономного округа – Югры;</w:t>
      </w:r>
    </w:p>
    <w:p w:rsidR="00231341" w:rsidRPr="00467CBF" w:rsidRDefault="00231341" w:rsidP="00231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- 16 758,10 тыс. рублей - средства бюджета города Когалыма.</w:t>
      </w:r>
    </w:p>
    <w:p w:rsidR="00231341" w:rsidRPr="00467CBF" w:rsidRDefault="00231341" w:rsidP="00231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Кроме того, Центром занятости реализуются средства бюджета Ханты-Мансийского автономного округа – Югры в рамках государственной программы «Содействие занятости населения в Ханты – Мансийском автономном округе – Югре на 2016-2020 годы». На 2017 год запланированы средства бюджета Ханты-Мансийского автономного округа – Югры в сумме 2</w:t>
      </w:r>
      <w:r w:rsidR="00DE159A">
        <w:rPr>
          <w:rFonts w:ascii="Times New Roman" w:eastAsia="Calibri" w:hAnsi="Times New Roman" w:cs="Times New Roman"/>
          <w:sz w:val="26"/>
          <w:szCs w:val="26"/>
          <w:lang w:eastAsia="ru-RU"/>
        </w:rPr>
        <w:t>1 481,60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рублей.</w:t>
      </w:r>
    </w:p>
    <w:p w:rsidR="00231341" w:rsidRPr="00467CBF" w:rsidRDefault="00231341" w:rsidP="00231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E159A">
        <w:rPr>
          <w:rFonts w:ascii="Times New Roman" w:eastAsia="Calibri" w:hAnsi="Times New Roman" w:cs="Times New Roman"/>
          <w:sz w:val="26"/>
          <w:szCs w:val="26"/>
          <w:lang w:eastAsia="ru-RU"/>
        </w:rPr>
        <w:t>Освоение составило</w:t>
      </w:r>
      <w:r w:rsidR="00DE159A" w:rsidRPr="00DE15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14 274,3</w:t>
      </w:r>
      <w:r w:rsidRPr="00DE15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рублей или </w:t>
      </w:r>
      <w:r w:rsidR="00DE159A" w:rsidRPr="00DE159A">
        <w:rPr>
          <w:rFonts w:ascii="Times New Roman" w:eastAsia="Calibri" w:hAnsi="Times New Roman" w:cs="Times New Roman"/>
          <w:sz w:val="26"/>
          <w:szCs w:val="26"/>
          <w:lang w:eastAsia="ru-RU"/>
        </w:rPr>
        <w:t>66,4</w:t>
      </w:r>
      <w:r w:rsidRPr="00DE159A">
        <w:rPr>
          <w:rFonts w:ascii="Times New Roman" w:eastAsia="Calibri" w:hAnsi="Times New Roman" w:cs="Times New Roman"/>
          <w:sz w:val="26"/>
          <w:szCs w:val="26"/>
          <w:lang w:eastAsia="ru-RU"/>
        </w:rPr>
        <w:t>% от годового плана.</w:t>
      </w:r>
    </w:p>
    <w:p w:rsidR="00231341" w:rsidRPr="00467CBF" w:rsidRDefault="00231341" w:rsidP="00231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На реализацию мероприятия по содействию трудоустройству незанятых инвалидов на оборудованные (оснащенные) для них рабочие места на 2017 год запланировано 664,10 тыс. рублей</w:t>
      </w:r>
      <w:r w:rsidR="00823C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для трудоустройства</w:t>
      </w:r>
      <w:r w:rsidR="00823C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="00823C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человек, из средств бюджет Ханты-Мансийского автономного округа – Югры. </w:t>
      </w:r>
    </w:p>
    <w:p w:rsidR="00DA0B34" w:rsidRPr="00467CBF" w:rsidRDefault="00DA0B34" w:rsidP="00DA0B34">
      <w:pPr>
        <w:spacing w:after="0" w:line="240" w:lineRule="auto"/>
        <w:ind w:right="-143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В 2016 году в рамках данной программы проведена следующая работа:</w:t>
      </w:r>
    </w:p>
    <w:p w:rsidR="00DA0B34" w:rsidRPr="00467CBF" w:rsidRDefault="00DA0B34" w:rsidP="00DA0B34">
      <w:pPr>
        <w:spacing w:after="0" w:line="240" w:lineRule="auto"/>
        <w:ind w:right="-143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трудоустроено на общественные работы 487 человек;</w:t>
      </w:r>
    </w:p>
    <w:p w:rsidR="00DA0B34" w:rsidRPr="00467CBF" w:rsidRDefault="00DA0B34" w:rsidP="00DA0B34">
      <w:pPr>
        <w:spacing w:after="0" w:line="240" w:lineRule="auto"/>
        <w:ind w:right="-143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организовано и проведено 15 ярмарок вакантных рабочих мест, в которых приняли участие 25 работодателя и 526 человек. В результате проведения ярмарок трудоустроены 335 человек;</w:t>
      </w:r>
    </w:p>
    <w:p w:rsidR="00DA0B34" w:rsidRPr="00467CBF" w:rsidRDefault="00DA0B34" w:rsidP="00DA0B34">
      <w:pPr>
        <w:spacing w:after="0" w:line="240" w:lineRule="auto"/>
        <w:ind w:right="-143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- 45 безработных граждан получили государственную услугу по содействию самозанятости, 36 человек зарегистрировали предпринимательскую деятельность;</w:t>
      </w:r>
    </w:p>
    <w:p w:rsidR="00DA0B34" w:rsidRPr="00467CBF" w:rsidRDefault="00DA0B34" w:rsidP="00DA0B34">
      <w:pPr>
        <w:spacing w:after="0" w:line="240" w:lineRule="auto"/>
        <w:ind w:right="-143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- 1 869 человек получили государственную услугу по профессиональной ориентации;</w:t>
      </w:r>
    </w:p>
    <w:p w:rsidR="00DA0B34" w:rsidRPr="00467CBF" w:rsidRDefault="00DA0B34" w:rsidP="00DA0B34">
      <w:pPr>
        <w:spacing w:after="0" w:line="240" w:lineRule="auto"/>
        <w:ind w:right="-143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- 87 безработных гражданин направлены на профессиональное обучение;</w:t>
      </w:r>
    </w:p>
    <w:p w:rsidR="00DA0B34" w:rsidRPr="00467CBF" w:rsidRDefault="00DA0B34" w:rsidP="00DA0B34">
      <w:pPr>
        <w:spacing w:after="0" w:line="240" w:lineRule="auto"/>
        <w:ind w:right="-143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- 80 человек получили государственную услугу по социальной адаптации;</w:t>
      </w:r>
    </w:p>
    <w:p w:rsidR="00DA0B34" w:rsidRPr="00467CBF" w:rsidRDefault="00DA0B34" w:rsidP="00DA0B34">
      <w:pPr>
        <w:spacing w:after="0" w:line="240" w:lineRule="auto"/>
        <w:ind w:right="-143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- 74 человека получили государственную услугу по психологической поддержке.</w:t>
      </w:r>
    </w:p>
    <w:p w:rsidR="00DA0B34" w:rsidRPr="00467CBF" w:rsidRDefault="00DA0B34" w:rsidP="00DA0B34">
      <w:pPr>
        <w:spacing w:after="0" w:line="240" w:lineRule="auto"/>
        <w:ind w:right="-143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Для снижения напряжённости на рынке труда и сдерживания роста безработицы активно используются мероприятия по временной занятости населения, развитию предпринимательства и самозанятости, обучению востребованным профессиям. Центром занятости населения проводятся информационно-массовые мероприятия (заседания, совещания, встречи) с работодателями, руководителями кадровых служб предприятий, организаций и учреждений города Когалыма.</w:t>
      </w:r>
    </w:p>
    <w:p w:rsidR="005F79A6" w:rsidRPr="00467CBF" w:rsidRDefault="005F79A6" w:rsidP="005B3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Это позволит сохранить позитивные тенденции на рынке труда и удержать регистрируемую безработиц</w:t>
      </w:r>
      <w:r w:rsidR="00217CE7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 на уровне </w:t>
      </w:r>
      <w:r w:rsidR="00DA0B34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140-130</w:t>
      </w:r>
      <w:r w:rsidR="00217CE7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человек или 0,</w:t>
      </w:r>
      <w:r w:rsidR="00DA0B34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823CBE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DA0B34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-0,33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% от экономически активного населения до конца прогнозного периода.</w:t>
      </w:r>
    </w:p>
    <w:p w:rsidR="00E90C31" w:rsidRDefault="00E90C31" w:rsidP="005B31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F1094" w:rsidRPr="00467CBF" w:rsidRDefault="00CF1094" w:rsidP="005B31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02049" w:rsidRPr="00467CBF" w:rsidRDefault="00D85F2D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5" w:name="_Toc498075901"/>
      <w:r w:rsidRPr="00467CBF">
        <w:rPr>
          <w:rFonts w:ascii="Times New Roman" w:hAnsi="Times New Roman" w:cs="Times New Roman"/>
          <w:b/>
          <w:color w:val="auto"/>
          <w:sz w:val="26"/>
          <w:szCs w:val="26"/>
        </w:rPr>
        <w:t xml:space="preserve">7. </w:t>
      </w:r>
      <w:r w:rsidR="002926DD" w:rsidRPr="00467CBF">
        <w:rPr>
          <w:rFonts w:ascii="Times New Roman" w:hAnsi="Times New Roman" w:cs="Times New Roman"/>
          <w:b/>
          <w:color w:val="auto"/>
          <w:sz w:val="26"/>
          <w:szCs w:val="26"/>
        </w:rPr>
        <w:t>ДЕМОГРАФИЯ</w:t>
      </w:r>
      <w:bookmarkEnd w:id="15"/>
    </w:p>
    <w:p w:rsidR="007A15BC" w:rsidRPr="00467CBF" w:rsidRDefault="007A15BC" w:rsidP="005B3126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F1702" w:rsidRPr="00467CBF" w:rsidRDefault="00BF1702" w:rsidP="00514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Демографические процессы в муниципальном образовании город Когалым</w:t>
      </w:r>
      <w:r w:rsidR="005144D9"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 2016 год </w:t>
      </w:r>
      <w:r w:rsidRPr="00467CBF">
        <w:rPr>
          <w:rFonts w:ascii="Times New Roman" w:eastAsia="Calibri" w:hAnsi="Times New Roman" w:cs="Times New Roman"/>
          <w:sz w:val="26"/>
          <w:szCs w:val="26"/>
          <w:lang w:eastAsia="ru-RU"/>
        </w:rPr>
        <w:t>характеризуются положительными тенденциями.</w:t>
      </w:r>
    </w:p>
    <w:p w:rsidR="000610E8" w:rsidRPr="00467CBF" w:rsidRDefault="000610E8" w:rsidP="005144D9">
      <w:pPr>
        <w:pStyle w:val="af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lastRenderedPageBreak/>
        <w:t xml:space="preserve">Среднегодовая численность постоянного населения по данным </w:t>
      </w:r>
      <w:r w:rsidR="005144D9" w:rsidRPr="00467CBF">
        <w:rPr>
          <w:rFonts w:ascii="Times New Roman" w:hAnsi="Times New Roman" w:cs="Times New Roman"/>
          <w:sz w:val="26"/>
          <w:szCs w:val="26"/>
          <w:lang w:eastAsia="ru-RU"/>
        </w:rPr>
        <w:t>Управления федеральной службы государственной статистики по Тюменской области, Ханты-Мансийскому автономному округу - Югре и Ямало-Ненецкому автономному округу</w:t>
      </w:r>
      <w:r w:rsidRPr="00467CBF">
        <w:rPr>
          <w:rFonts w:ascii="Times New Roman" w:hAnsi="Times New Roman" w:cs="Times New Roman"/>
          <w:sz w:val="26"/>
          <w:szCs w:val="26"/>
        </w:rPr>
        <w:t xml:space="preserve"> за 201</w:t>
      </w:r>
      <w:r w:rsidR="005144D9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 составила </w:t>
      </w:r>
      <w:r w:rsidR="005144D9" w:rsidRPr="00467CBF">
        <w:rPr>
          <w:rFonts w:ascii="Times New Roman" w:hAnsi="Times New Roman" w:cs="Times New Roman"/>
          <w:sz w:val="26"/>
          <w:szCs w:val="26"/>
        </w:rPr>
        <w:t>64,1</w:t>
      </w:r>
      <w:r w:rsidR="00351A6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тыс. человек. Численность постоянного населения на начало 201</w:t>
      </w:r>
      <w:r w:rsidR="005144D9" w:rsidRPr="00467CBF">
        <w:rPr>
          <w:rFonts w:ascii="Times New Roman" w:hAnsi="Times New Roman" w:cs="Times New Roman"/>
          <w:sz w:val="26"/>
          <w:szCs w:val="26"/>
        </w:rPr>
        <w:t>7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="00F54A1C" w:rsidRPr="00467CBF">
        <w:rPr>
          <w:rFonts w:ascii="Times New Roman" w:hAnsi="Times New Roman" w:cs="Times New Roman"/>
          <w:sz w:val="26"/>
          <w:szCs w:val="26"/>
        </w:rPr>
        <w:t>6</w:t>
      </w:r>
      <w:r w:rsidR="005144D9" w:rsidRPr="00467CBF">
        <w:rPr>
          <w:rFonts w:ascii="Times New Roman" w:hAnsi="Times New Roman" w:cs="Times New Roman"/>
          <w:sz w:val="26"/>
          <w:szCs w:val="26"/>
        </w:rPr>
        <w:t>4</w:t>
      </w:r>
      <w:r w:rsidR="00F54A1C" w:rsidRPr="00467CBF">
        <w:rPr>
          <w:rFonts w:ascii="Times New Roman" w:hAnsi="Times New Roman" w:cs="Times New Roman"/>
          <w:sz w:val="26"/>
          <w:szCs w:val="26"/>
        </w:rPr>
        <w:t>,</w:t>
      </w:r>
      <w:r w:rsidR="005144D9" w:rsidRPr="00467CBF">
        <w:rPr>
          <w:rFonts w:ascii="Times New Roman" w:hAnsi="Times New Roman" w:cs="Times New Roman"/>
          <w:sz w:val="26"/>
          <w:szCs w:val="26"/>
        </w:rPr>
        <w:t>85</w:t>
      </w:r>
      <w:r w:rsidRPr="00467CBF">
        <w:rPr>
          <w:rFonts w:ascii="Times New Roman" w:hAnsi="Times New Roman" w:cs="Times New Roman"/>
          <w:sz w:val="26"/>
          <w:szCs w:val="26"/>
        </w:rPr>
        <w:t xml:space="preserve"> тыс. человек, увеличившись по сравнению с началом 201</w:t>
      </w:r>
      <w:r w:rsidR="005144D9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года на </w:t>
      </w:r>
      <w:r w:rsidR="00351A6F">
        <w:rPr>
          <w:rFonts w:ascii="Times New Roman" w:hAnsi="Times New Roman" w:cs="Times New Roman"/>
          <w:sz w:val="26"/>
          <w:szCs w:val="26"/>
        </w:rPr>
        <w:t>2,2</w:t>
      </w:r>
      <w:r w:rsidR="005144D9" w:rsidRPr="00467CBF">
        <w:rPr>
          <w:rFonts w:ascii="Times New Roman" w:hAnsi="Times New Roman" w:cs="Times New Roman"/>
          <w:sz w:val="26"/>
          <w:szCs w:val="26"/>
        </w:rPr>
        <w:t xml:space="preserve"> % или на 1,3</w:t>
      </w:r>
      <w:r w:rsidR="00351A6F">
        <w:rPr>
          <w:rFonts w:ascii="Times New Roman" w:hAnsi="Times New Roman" w:cs="Times New Roman"/>
          <w:sz w:val="26"/>
          <w:szCs w:val="26"/>
        </w:rPr>
        <w:t>7</w:t>
      </w:r>
      <w:r w:rsidRPr="00467CBF">
        <w:rPr>
          <w:rFonts w:ascii="Times New Roman" w:hAnsi="Times New Roman" w:cs="Times New Roman"/>
          <w:sz w:val="26"/>
          <w:szCs w:val="26"/>
        </w:rPr>
        <w:t xml:space="preserve"> тыс.</w:t>
      </w:r>
      <w:r w:rsidR="005144D9" w:rsidRPr="00467CB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467CBF">
        <w:rPr>
          <w:rFonts w:ascii="Times New Roman" w:hAnsi="Times New Roman" w:cs="Times New Roman"/>
          <w:sz w:val="26"/>
          <w:szCs w:val="26"/>
        </w:rPr>
        <w:t>.</w:t>
      </w:r>
    </w:p>
    <w:p w:rsidR="000610E8" w:rsidRPr="00467CBF" w:rsidRDefault="005144D9" w:rsidP="00514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Определяющим фактором положительной динамики численности населения по-прежнему является естественный прирост</w:t>
      </w:r>
      <w:r w:rsidR="000610E8" w:rsidRPr="00467CBF">
        <w:rPr>
          <w:rFonts w:ascii="Times New Roman" w:hAnsi="Times New Roman" w:cs="Times New Roman"/>
          <w:sz w:val="26"/>
          <w:szCs w:val="26"/>
        </w:rPr>
        <w:t>, который в 201</w:t>
      </w:r>
      <w:r w:rsidRPr="00467CBF">
        <w:rPr>
          <w:rFonts w:ascii="Times New Roman" w:hAnsi="Times New Roman" w:cs="Times New Roman"/>
          <w:sz w:val="26"/>
          <w:szCs w:val="26"/>
        </w:rPr>
        <w:t>6</w:t>
      </w:r>
      <w:r w:rsidR="000610E8" w:rsidRPr="00467CBF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954EB0" w:rsidRPr="00467CBF">
        <w:rPr>
          <w:rFonts w:ascii="Times New Roman" w:hAnsi="Times New Roman" w:cs="Times New Roman"/>
          <w:sz w:val="26"/>
          <w:szCs w:val="26"/>
        </w:rPr>
        <w:t>6</w:t>
      </w:r>
      <w:r w:rsidR="00351A6F">
        <w:rPr>
          <w:rFonts w:ascii="Times New Roman" w:hAnsi="Times New Roman" w:cs="Times New Roman"/>
          <w:sz w:val="26"/>
          <w:szCs w:val="26"/>
        </w:rPr>
        <w:t>86</w:t>
      </w:r>
      <w:r w:rsidR="00954EB0" w:rsidRPr="00467CBF">
        <w:rPr>
          <w:rFonts w:ascii="Times New Roman" w:hAnsi="Times New Roman" w:cs="Times New Roman"/>
          <w:sz w:val="26"/>
          <w:szCs w:val="26"/>
        </w:rPr>
        <w:t xml:space="preserve"> </w:t>
      </w:r>
      <w:r w:rsidR="007A6766" w:rsidRPr="00467CBF">
        <w:rPr>
          <w:rFonts w:ascii="Times New Roman" w:hAnsi="Times New Roman" w:cs="Times New Roman"/>
          <w:sz w:val="26"/>
          <w:szCs w:val="26"/>
        </w:rPr>
        <w:t>человек</w:t>
      </w:r>
      <w:r w:rsidR="00954EB0" w:rsidRPr="00467CBF">
        <w:rPr>
          <w:rFonts w:ascii="Times New Roman" w:hAnsi="Times New Roman" w:cs="Times New Roman"/>
          <w:sz w:val="26"/>
          <w:szCs w:val="26"/>
        </w:rPr>
        <w:t>а</w:t>
      </w:r>
      <w:r w:rsidR="000610E8" w:rsidRPr="00467CBF">
        <w:rPr>
          <w:rFonts w:ascii="Times New Roman" w:hAnsi="Times New Roman" w:cs="Times New Roman"/>
          <w:sz w:val="26"/>
          <w:szCs w:val="26"/>
        </w:rPr>
        <w:t>. Устойчивой позитивной тенденцией демографического развития города на протяжении более 10 лет является превышение числа родившихся над количеством умерших в пределах 4,5-5,0 раз</w:t>
      </w:r>
      <w:r w:rsidR="00954EB0" w:rsidRPr="00467CBF">
        <w:rPr>
          <w:rFonts w:ascii="Times New Roman" w:hAnsi="Times New Roman" w:cs="Times New Roman"/>
          <w:sz w:val="26"/>
          <w:szCs w:val="26"/>
        </w:rPr>
        <w:t xml:space="preserve"> до 2015 года и 3,8 в 2016 году</w:t>
      </w:r>
      <w:r w:rsidR="000610E8" w:rsidRPr="00467CBF">
        <w:rPr>
          <w:rFonts w:ascii="Times New Roman" w:hAnsi="Times New Roman" w:cs="Times New Roman"/>
          <w:sz w:val="26"/>
          <w:szCs w:val="26"/>
        </w:rPr>
        <w:t>. В прогнозном периоде сохранится тенденция превышения рождаемости над смертностью.</w:t>
      </w:r>
    </w:p>
    <w:p w:rsidR="000610E8" w:rsidRPr="00467CBF" w:rsidRDefault="000610E8" w:rsidP="0006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За истекший 201</w:t>
      </w:r>
      <w:r w:rsidR="00954EB0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 в городе родилось </w:t>
      </w:r>
      <w:r w:rsidR="00954EB0" w:rsidRPr="00467CBF">
        <w:rPr>
          <w:rFonts w:ascii="Times New Roman" w:hAnsi="Times New Roman" w:cs="Times New Roman"/>
          <w:sz w:val="26"/>
          <w:szCs w:val="26"/>
        </w:rPr>
        <w:t>9</w:t>
      </w:r>
      <w:r w:rsidR="00351A6F">
        <w:rPr>
          <w:rFonts w:ascii="Times New Roman" w:hAnsi="Times New Roman" w:cs="Times New Roman"/>
          <w:sz w:val="26"/>
          <w:szCs w:val="26"/>
        </w:rPr>
        <w:t>60</w:t>
      </w:r>
      <w:r w:rsidR="003B45DF" w:rsidRPr="00467CBF">
        <w:rPr>
          <w:rFonts w:ascii="Times New Roman" w:hAnsi="Times New Roman" w:cs="Times New Roman"/>
          <w:sz w:val="26"/>
          <w:szCs w:val="26"/>
        </w:rPr>
        <w:t xml:space="preserve"> малышей</w:t>
      </w:r>
      <w:r w:rsidRPr="00467CBF">
        <w:rPr>
          <w:rFonts w:ascii="Times New Roman" w:hAnsi="Times New Roman" w:cs="Times New Roman"/>
          <w:sz w:val="26"/>
          <w:szCs w:val="26"/>
        </w:rPr>
        <w:t xml:space="preserve">, что на </w:t>
      </w:r>
      <w:r w:rsidR="00351A6F">
        <w:rPr>
          <w:rFonts w:ascii="Times New Roman" w:hAnsi="Times New Roman" w:cs="Times New Roman"/>
          <w:sz w:val="26"/>
          <w:szCs w:val="26"/>
        </w:rPr>
        <w:t>2,8</w:t>
      </w:r>
      <w:r w:rsidR="00954EB0" w:rsidRPr="00467CBF">
        <w:rPr>
          <w:rFonts w:ascii="Times New Roman" w:hAnsi="Times New Roman" w:cs="Times New Roman"/>
          <w:sz w:val="26"/>
          <w:szCs w:val="26"/>
        </w:rPr>
        <w:t xml:space="preserve"> %</w:t>
      </w:r>
      <w:r w:rsidRPr="00467CBF">
        <w:rPr>
          <w:rFonts w:ascii="Times New Roman" w:hAnsi="Times New Roman" w:cs="Times New Roman"/>
          <w:sz w:val="26"/>
          <w:szCs w:val="26"/>
        </w:rPr>
        <w:t xml:space="preserve"> </w:t>
      </w:r>
      <w:r w:rsidR="002B00C2" w:rsidRPr="00467CBF">
        <w:rPr>
          <w:rFonts w:ascii="Times New Roman" w:hAnsi="Times New Roman" w:cs="Times New Roman"/>
          <w:sz w:val="26"/>
          <w:szCs w:val="26"/>
        </w:rPr>
        <w:t>меньше</w:t>
      </w:r>
      <w:r w:rsidRPr="00467CBF">
        <w:rPr>
          <w:rFonts w:ascii="Times New Roman" w:hAnsi="Times New Roman" w:cs="Times New Roman"/>
          <w:sz w:val="26"/>
          <w:szCs w:val="26"/>
        </w:rPr>
        <w:t>, чем в 201</w:t>
      </w:r>
      <w:r w:rsidR="00954EB0" w:rsidRPr="00467CBF">
        <w:rPr>
          <w:rFonts w:ascii="Times New Roman" w:hAnsi="Times New Roman" w:cs="Times New Roman"/>
          <w:sz w:val="26"/>
          <w:szCs w:val="26"/>
        </w:rPr>
        <w:t>5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году. Общий коэффициент рождаемости составил </w:t>
      </w:r>
      <w:r w:rsidR="00954EB0" w:rsidRPr="00467CBF">
        <w:rPr>
          <w:rFonts w:ascii="Times New Roman" w:hAnsi="Times New Roman" w:cs="Times New Roman"/>
          <w:sz w:val="26"/>
          <w:szCs w:val="26"/>
        </w:rPr>
        <w:t>1</w:t>
      </w:r>
      <w:r w:rsidR="00351A6F">
        <w:rPr>
          <w:rFonts w:ascii="Times New Roman" w:hAnsi="Times New Roman" w:cs="Times New Roman"/>
          <w:sz w:val="26"/>
          <w:szCs w:val="26"/>
        </w:rPr>
        <w:t>5,0</w:t>
      </w:r>
      <w:r w:rsidRPr="00467CBF">
        <w:rPr>
          <w:rFonts w:ascii="Times New Roman" w:hAnsi="Times New Roman" w:cs="Times New Roman"/>
          <w:sz w:val="26"/>
          <w:szCs w:val="26"/>
        </w:rPr>
        <w:t xml:space="preserve"> промилле, что </w:t>
      </w:r>
      <w:r w:rsidR="00EC346C" w:rsidRPr="00467CBF">
        <w:rPr>
          <w:rFonts w:ascii="Times New Roman" w:hAnsi="Times New Roman" w:cs="Times New Roman"/>
          <w:sz w:val="26"/>
          <w:szCs w:val="26"/>
        </w:rPr>
        <w:t xml:space="preserve">выше </w:t>
      </w:r>
      <w:r w:rsidRPr="00467CBF">
        <w:rPr>
          <w:rFonts w:ascii="Times New Roman" w:hAnsi="Times New Roman" w:cs="Times New Roman"/>
          <w:sz w:val="26"/>
          <w:szCs w:val="26"/>
        </w:rPr>
        <w:t xml:space="preserve">средне окружного значения на </w:t>
      </w:r>
      <w:r w:rsidR="00EC346C" w:rsidRPr="00467CBF">
        <w:rPr>
          <w:rFonts w:ascii="Times New Roman" w:hAnsi="Times New Roman" w:cs="Times New Roman"/>
          <w:sz w:val="26"/>
          <w:szCs w:val="26"/>
        </w:rPr>
        <w:t>1,</w:t>
      </w:r>
      <w:r w:rsidR="0042781A">
        <w:rPr>
          <w:rFonts w:ascii="Times New Roman" w:hAnsi="Times New Roman" w:cs="Times New Roman"/>
          <w:sz w:val="26"/>
          <w:szCs w:val="26"/>
        </w:rPr>
        <w:t>4</w:t>
      </w:r>
      <w:r w:rsidRPr="00467CBF">
        <w:rPr>
          <w:rFonts w:ascii="Times New Roman" w:hAnsi="Times New Roman" w:cs="Times New Roman"/>
          <w:sz w:val="26"/>
          <w:szCs w:val="26"/>
        </w:rPr>
        <w:t xml:space="preserve"> промилле (Ханты-Мансийский автономный округ – Югра – </w:t>
      </w:r>
      <w:r w:rsidR="00EC346C" w:rsidRPr="00467CBF">
        <w:rPr>
          <w:rFonts w:ascii="Times New Roman" w:hAnsi="Times New Roman" w:cs="Times New Roman"/>
          <w:sz w:val="26"/>
          <w:szCs w:val="26"/>
        </w:rPr>
        <w:t>13,6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на 1000 населения) и выше значения по Российской Федерации на </w:t>
      </w:r>
      <w:r w:rsidR="00EC346C" w:rsidRPr="00467CBF">
        <w:rPr>
          <w:rFonts w:ascii="Times New Roman" w:hAnsi="Times New Roman" w:cs="Times New Roman"/>
          <w:sz w:val="26"/>
          <w:szCs w:val="26"/>
        </w:rPr>
        <w:t>3,</w:t>
      </w:r>
      <w:r w:rsidR="0042781A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промилле (Российская Федерация </w:t>
      </w:r>
      <w:r w:rsidR="00EC346C" w:rsidRPr="00467CBF">
        <w:rPr>
          <w:rFonts w:ascii="Times New Roman" w:hAnsi="Times New Roman" w:cs="Times New Roman"/>
          <w:sz w:val="26"/>
          <w:szCs w:val="26"/>
        </w:rPr>
        <w:t>–</w:t>
      </w:r>
      <w:r w:rsidRPr="00467CBF">
        <w:rPr>
          <w:rFonts w:ascii="Times New Roman" w:hAnsi="Times New Roman" w:cs="Times New Roman"/>
          <w:sz w:val="26"/>
          <w:szCs w:val="26"/>
        </w:rPr>
        <w:t xml:space="preserve"> </w:t>
      </w:r>
      <w:r w:rsidR="00EC346C" w:rsidRPr="00467CBF">
        <w:rPr>
          <w:rFonts w:ascii="Times New Roman" w:hAnsi="Times New Roman" w:cs="Times New Roman"/>
          <w:sz w:val="26"/>
          <w:szCs w:val="26"/>
        </w:rPr>
        <w:t>11,4</w:t>
      </w:r>
      <w:r w:rsidRPr="00467CBF">
        <w:rPr>
          <w:rFonts w:ascii="Times New Roman" w:hAnsi="Times New Roman" w:cs="Times New Roman"/>
          <w:sz w:val="26"/>
          <w:szCs w:val="26"/>
        </w:rPr>
        <w:t xml:space="preserve"> на 1000 населения).</w:t>
      </w:r>
    </w:p>
    <w:p w:rsidR="000610E8" w:rsidRPr="00467CBF" w:rsidRDefault="000610E8" w:rsidP="0006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По оценке количество родившихся в 201</w:t>
      </w:r>
      <w:r w:rsidR="00EC346C" w:rsidRPr="00467CBF">
        <w:rPr>
          <w:rFonts w:ascii="Times New Roman" w:hAnsi="Times New Roman" w:cs="Times New Roman"/>
          <w:sz w:val="26"/>
          <w:szCs w:val="26"/>
        </w:rPr>
        <w:t>7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C346C" w:rsidRPr="00467CBF">
        <w:rPr>
          <w:rFonts w:ascii="Times New Roman" w:hAnsi="Times New Roman" w:cs="Times New Roman"/>
          <w:sz w:val="26"/>
          <w:szCs w:val="26"/>
        </w:rPr>
        <w:t>составит 9</w:t>
      </w:r>
      <w:r w:rsidR="0042781A">
        <w:rPr>
          <w:rFonts w:ascii="Times New Roman" w:hAnsi="Times New Roman" w:cs="Times New Roman"/>
          <w:sz w:val="26"/>
          <w:szCs w:val="26"/>
        </w:rPr>
        <w:t>83</w:t>
      </w:r>
      <w:r w:rsidR="00EC346C" w:rsidRPr="00467CBF">
        <w:rPr>
          <w:rFonts w:ascii="Times New Roman" w:hAnsi="Times New Roman" w:cs="Times New Roman"/>
          <w:sz w:val="26"/>
          <w:szCs w:val="26"/>
        </w:rPr>
        <w:t xml:space="preserve"> (рост к 2016 году – </w:t>
      </w:r>
      <w:r w:rsidR="0042781A">
        <w:rPr>
          <w:rFonts w:ascii="Times New Roman" w:hAnsi="Times New Roman" w:cs="Times New Roman"/>
          <w:sz w:val="26"/>
          <w:szCs w:val="26"/>
        </w:rPr>
        <w:t>2,4</w:t>
      </w:r>
      <w:r w:rsidR="00EC346C" w:rsidRPr="00467CBF">
        <w:rPr>
          <w:rFonts w:ascii="Times New Roman" w:hAnsi="Times New Roman" w:cs="Times New Roman"/>
          <w:sz w:val="26"/>
          <w:szCs w:val="26"/>
        </w:rPr>
        <w:t>%)</w:t>
      </w:r>
      <w:r w:rsidRPr="00467CBF">
        <w:rPr>
          <w:rFonts w:ascii="Times New Roman" w:hAnsi="Times New Roman" w:cs="Times New Roman"/>
          <w:sz w:val="26"/>
          <w:szCs w:val="26"/>
        </w:rPr>
        <w:t xml:space="preserve">. Общий коэффициент рождаемости составит </w:t>
      </w:r>
      <w:r w:rsidR="0042781A">
        <w:rPr>
          <w:rFonts w:ascii="Times New Roman" w:hAnsi="Times New Roman" w:cs="Times New Roman"/>
          <w:sz w:val="26"/>
          <w:szCs w:val="26"/>
        </w:rPr>
        <w:t>15,03</w:t>
      </w:r>
      <w:r w:rsidRPr="00467CBF">
        <w:rPr>
          <w:rFonts w:ascii="Times New Roman" w:hAnsi="Times New Roman" w:cs="Times New Roman"/>
          <w:sz w:val="26"/>
          <w:szCs w:val="26"/>
        </w:rPr>
        <w:t xml:space="preserve"> промилле.</w:t>
      </w:r>
      <w:r w:rsidR="00EC346C" w:rsidRPr="00467CBF">
        <w:rPr>
          <w:rFonts w:ascii="Times New Roman" w:hAnsi="Times New Roman" w:cs="Times New Roman"/>
          <w:sz w:val="26"/>
          <w:szCs w:val="26"/>
        </w:rPr>
        <w:t xml:space="preserve"> </w:t>
      </w:r>
      <w:r w:rsidRPr="00467CBF">
        <w:rPr>
          <w:rFonts w:ascii="Times New Roman" w:hAnsi="Times New Roman" w:cs="Times New Roman"/>
          <w:sz w:val="26"/>
          <w:szCs w:val="26"/>
        </w:rPr>
        <w:t xml:space="preserve">Количество рождений на 1 тыс. жителей прогнозируется на уровне </w:t>
      </w:r>
      <w:r w:rsidR="00EC346C" w:rsidRPr="00467CBF">
        <w:rPr>
          <w:rFonts w:ascii="Times New Roman" w:hAnsi="Times New Roman" w:cs="Times New Roman"/>
          <w:sz w:val="26"/>
          <w:szCs w:val="26"/>
        </w:rPr>
        <w:t>14,</w:t>
      </w:r>
      <w:r w:rsidR="0042781A">
        <w:rPr>
          <w:rFonts w:ascii="Times New Roman" w:hAnsi="Times New Roman" w:cs="Times New Roman"/>
          <w:sz w:val="26"/>
          <w:szCs w:val="26"/>
        </w:rPr>
        <w:t>4</w:t>
      </w:r>
      <w:r w:rsidR="00EC346C" w:rsidRPr="00467CBF">
        <w:rPr>
          <w:rFonts w:ascii="Times New Roman" w:hAnsi="Times New Roman" w:cs="Times New Roman"/>
          <w:sz w:val="26"/>
          <w:szCs w:val="26"/>
        </w:rPr>
        <w:t>-14,</w:t>
      </w:r>
      <w:r w:rsidR="0042781A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промилле в год. Количество рождений повысится с </w:t>
      </w:r>
      <w:r w:rsidR="00C175E7" w:rsidRPr="00467CBF">
        <w:rPr>
          <w:rFonts w:ascii="Times New Roman" w:hAnsi="Times New Roman" w:cs="Times New Roman"/>
          <w:sz w:val="26"/>
          <w:szCs w:val="26"/>
        </w:rPr>
        <w:t>98</w:t>
      </w:r>
      <w:r w:rsidR="00EC346C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человек в 201</w:t>
      </w:r>
      <w:r w:rsidR="00EC346C" w:rsidRPr="00467CBF">
        <w:rPr>
          <w:rFonts w:ascii="Times New Roman" w:hAnsi="Times New Roman" w:cs="Times New Roman"/>
          <w:sz w:val="26"/>
          <w:szCs w:val="26"/>
        </w:rPr>
        <w:t>8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B1454C">
        <w:rPr>
          <w:rFonts w:ascii="Times New Roman" w:hAnsi="Times New Roman" w:cs="Times New Roman"/>
          <w:sz w:val="26"/>
          <w:szCs w:val="26"/>
        </w:rPr>
        <w:t xml:space="preserve">до </w:t>
      </w:r>
      <w:r w:rsidR="00C175E7" w:rsidRPr="00B1454C">
        <w:rPr>
          <w:rFonts w:ascii="Times New Roman" w:hAnsi="Times New Roman" w:cs="Times New Roman"/>
          <w:sz w:val="26"/>
          <w:szCs w:val="26"/>
        </w:rPr>
        <w:t>99</w:t>
      </w:r>
      <w:r w:rsidR="00EC346C" w:rsidRPr="00B1454C">
        <w:rPr>
          <w:rFonts w:ascii="Times New Roman" w:hAnsi="Times New Roman" w:cs="Times New Roman"/>
          <w:sz w:val="26"/>
          <w:szCs w:val="26"/>
        </w:rPr>
        <w:t>1</w:t>
      </w:r>
      <w:r w:rsidRPr="00B1454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C346C" w:rsidRPr="00B1454C">
        <w:rPr>
          <w:rFonts w:ascii="Times New Roman" w:hAnsi="Times New Roman" w:cs="Times New Roman"/>
          <w:sz w:val="26"/>
          <w:szCs w:val="26"/>
        </w:rPr>
        <w:t>а</w:t>
      </w:r>
      <w:r w:rsidRPr="00B1454C">
        <w:rPr>
          <w:rFonts w:ascii="Times New Roman" w:hAnsi="Times New Roman" w:cs="Times New Roman"/>
          <w:sz w:val="26"/>
          <w:szCs w:val="26"/>
        </w:rPr>
        <w:t xml:space="preserve"> в 20</w:t>
      </w:r>
      <w:r w:rsidR="00EC346C" w:rsidRPr="00B1454C">
        <w:rPr>
          <w:rFonts w:ascii="Times New Roman" w:hAnsi="Times New Roman" w:cs="Times New Roman"/>
          <w:sz w:val="26"/>
          <w:szCs w:val="26"/>
        </w:rPr>
        <w:t>20</w:t>
      </w:r>
      <w:r w:rsidRPr="00B1454C">
        <w:rPr>
          <w:rFonts w:ascii="Times New Roman" w:hAnsi="Times New Roman" w:cs="Times New Roman"/>
          <w:sz w:val="26"/>
          <w:szCs w:val="26"/>
        </w:rPr>
        <w:t xml:space="preserve"> году по </w:t>
      </w:r>
      <w:r w:rsidR="00C175E7" w:rsidRPr="00B1454C">
        <w:rPr>
          <w:rFonts w:ascii="Times New Roman" w:hAnsi="Times New Roman" w:cs="Times New Roman"/>
          <w:sz w:val="26"/>
          <w:szCs w:val="26"/>
        </w:rPr>
        <w:t>базовому варианту и до 1 00</w:t>
      </w:r>
      <w:r w:rsidR="00EC346C" w:rsidRPr="00B1454C">
        <w:rPr>
          <w:rFonts w:ascii="Times New Roman" w:hAnsi="Times New Roman" w:cs="Times New Roman"/>
          <w:sz w:val="26"/>
          <w:szCs w:val="26"/>
        </w:rPr>
        <w:t>3</w:t>
      </w:r>
      <w:r w:rsidR="00C175E7" w:rsidRPr="00B1454C">
        <w:rPr>
          <w:rFonts w:ascii="Times New Roman" w:hAnsi="Times New Roman" w:cs="Times New Roman"/>
          <w:sz w:val="26"/>
          <w:szCs w:val="26"/>
        </w:rPr>
        <w:t xml:space="preserve"> по целевому варианту.</w:t>
      </w:r>
    </w:p>
    <w:p w:rsidR="000610E8" w:rsidRPr="00467CBF" w:rsidRDefault="000610E8" w:rsidP="0006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Количество смертных случаев в 201</w:t>
      </w:r>
      <w:r w:rsidR="00EC346C" w:rsidRPr="00467CBF">
        <w:rPr>
          <w:rFonts w:ascii="Times New Roman" w:hAnsi="Times New Roman" w:cs="Times New Roman"/>
          <w:sz w:val="26"/>
          <w:szCs w:val="26"/>
        </w:rPr>
        <w:t>7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</w:t>
      </w:r>
      <w:r w:rsidR="0088608E" w:rsidRPr="00467CBF">
        <w:rPr>
          <w:rFonts w:ascii="Times New Roman" w:hAnsi="Times New Roman" w:cs="Times New Roman"/>
          <w:sz w:val="26"/>
          <w:szCs w:val="26"/>
        </w:rPr>
        <w:t>уменьшится</w:t>
      </w:r>
      <w:r w:rsidRPr="00467CBF">
        <w:rPr>
          <w:rFonts w:ascii="Times New Roman" w:hAnsi="Times New Roman" w:cs="Times New Roman"/>
          <w:sz w:val="26"/>
          <w:szCs w:val="26"/>
        </w:rPr>
        <w:t xml:space="preserve"> по сравнению с 201</w:t>
      </w:r>
      <w:r w:rsidR="00EC346C" w:rsidRPr="00467CBF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1342F0">
        <w:rPr>
          <w:rFonts w:ascii="Times New Roman" w:hAnsi="Times New Roman" w:cs="Times New Roman"/>
          <w:sz w:val="26"/>
          <w:szCs w:val="26"/>
        </w:rPr>
        <w:t>19,0</w:t>
      </w:r>
      <w:r w:rsidRPr="00467CBF">
        <w:rPr>
          <w:rFonts w:ascii="Times New Roman" w:hAnsi="Times New Roman" w:cs="Times New Roman"/>
          <w:sz w:val="26"/>
          <w:szCs w:val="26"/>
        </w:rPr>
        <w:t xml:space="preserve">% и составит </w:t>
      </w:r>
      <w:r w:rsidR="00EC346C" w:rsidRPr="00467CBF">
        <w:rPr>
          <w:rFonts w:ascii="Times New Roman" w:hAnsi="Times New Roman" w:cs="Times New Roman"/>
          <w:sz w:val="26"/>
          <w:szCs w:val="26"/>
        </w:rPr>
        <w:t>по оценке 222</w:t>
      </w:r>
      <w:r w:rsidRPr="00467CBF">
        <w:rPr>
          <w:rFonts w:ascii="Times New Roman" w:hAnsi="Times New Roman" w:cs="Times New Roman"/>
          <w:sz w:val="26"/>
          <w:szCs w:val="26"/>
        </w:rPr>
        <w:t xml:space="preserve"> случа</w:t>
      </w:r>
      <w:r w:rsidR="00EC346C" w:rsidRPr="00467CBF">
        <w:rPr>
          <w:rFonts w:ascii="Times New Roman" w:hAnsi="Times New Roman" w:cs="Times New Roman"/>
          <w:sz w:val="26"/>
          <w:szCs w:val="26"/>
        </w:rPr>
        <w:t>я</w:t>
      </w:r>
      <w:r w:rsidRPr="00467CBF">
        <w:rPr>
          <w:rFonts w:ascii="Times New Roman" w:hAnsi="Times New Roman" w:cs="Times New Roman"/>
          <w:sz w:val="26"/>
          <w:szCs w:val="26"/>
        </w:rPr>
        <w:t xml:space="preserve">. В среднесрочной перспективе количество </w:t>
      </w:r>
      <w:r w:rsidR="00EC346C" w:rsidRPr="00467CBF">
        <w:rPr>
          <w:rFonts w:ascii="Times New Roman" w:hAnsi="Times New Roman" w:cs="Times New Roman"/>
          <w:sz w:val="26"/>
          <w:szCs w:val="26"/>
        </w:rPr>
        <w:t xml:space="preserve">умерших в среднем </w:t>
      </w:r>
      <w:r w:rsidR="0088608E" w:rsidRPr="00467CBF">
        <w:rPr>
          <w:rFonts w:ascii="Times New Roman" w:hAnsi="Times New Roman" w:cs="Times New Roman"/>
          <w:sz w:val="26"/>
          <w:szCs w:val="26"/>
        </w:rPr>
        <w:t xml:space="preserve">сохранится на </w:t>
      </w:r>
      <w:r w:rsidR="0088608E" w:rsidRPr="00903B75">
        <w:rPr>
          <w:rFonts w:ascii="Times New Roman" w:hAnsi="Times New Roman" w:cs="Times New Roman"/>
          <w:sz w:val="26"/>
          <w:szCs w:val="26"/>
        </w:rPr>
        <w:t>уровне 22</w:t>
      </w:r>
      <w:r w:rsidR="00903B75" w:rsidRPr="00903B75">
        <w:rPr>
          <w:rFonts w:ascii="Times New Roman" w:hAnsi="Times New Roman" w:cs="Times New Roman"/>
          <w:sz w:val="26"/>
          <w:szCs w:val="26"/>
        </w:rPr>
        <w:t>7</w:t>
      </w:r>
      <w:r w:rsidR="00EC346C" w:rsidRPr="00903B75">
        <w:rPr>
          <w:rFonts w:ascii="Times New Roman" w:hAnsi="Times New Roman" w:cs="Times New Roman"/>
          <w:sz w:val="26"/>
          <w:szCs w:val="26"/>
        </w:rPr>
        <w:t xml:space="preserve"> по</w:t>
      </w:r>
      <w:r w:rsidR="00EC346C" w:rsidRPr="00467CBF">
        <w:rPr>
          <w:rFonts w:ascii="Times New Roman" w:hAnsi="Times New Roman" w:cs="Times New Roman"/>
          <w:sz w:val="26"/>
          <w:szCs w:val="26"/>
        </w:rPr>
        <w:t xml:space="preserve"> базовому варианту,</w:t>
      </w:r>
      <w:r w:rsidR="0088608E" w:rsidRPr="00467CBF">
        <w:rPr>
          <w:rFonts w:ascii="Times New Roman" w:hAnsi="Times New Roman" w:cs="Times New Roman"/>
          <w:sz w:val="26"/>
          <w:szCs w:val="26"/>
        </w:rPr>
        <w:t xml:space="preserve"> о</w:t>
      </w:r>
      <w:r w:rsidRPr="00467CBF">
        <w:rPr>
          <w:rFonts w:ascii="Times New Roman" w:hAnsi="Times New Roman" w:cs="Times New Roman"/>
          <w:sz w:val="26"/>
          <w:szCs w:val="26"/>
        </w:rPr>
        <w:t>бщий коэффициент смертности населения к 20</w:t>
      </w:r>
      <w:r w:rsidR="00EC346C" w:rsidRPr="00467CBF">
        <w:rPr>
          <w:rFonts w:ascii="Times New Roman" w:hAnsi="Times New Roman" w:cs="Times New Roman"/>
          <w:sz w:val="26"/>
          <w:szCs w:val="26"/>
        </w:rPr>
        <w:t>20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составит </w:t>
      </w:r>
      <w:r w:rsidR="0088608E" w:rsidRPr="001342F0">
        <w:rPr>
          <w:rFonts w:ascii="Times New Roman" w:hAnsi="Times New Roman" w:cs="Times New Roman"/>
          <w:sz w:val="26"/>
          <w:szCs w:val="26"/>
        </w:rPr>
        <w:t>3,3</w:t>
      </w:r>
      <w:r w:rsidRPr="00467CBF">
        <w:rPr>
          <w:rFonts w:ascii="Times New Roman" w:hAnsi="Times New Roman" w:cs="Times New Roman"/>
          <w:sz w:val="26"/>
          <w:szCs w:val="26"/>
        </w:rPr>
        <w:t xml:space="preserve"> промилле.</w:t>
      </w:r>
    </w:p>
    <w:p w:rsidR="00E717AC" w:rsidRPr="00467CBF" w:rsidRDefault="00E717AC" w:rsidP="00E71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 отличие от естественного движения населения миграционные потоки не обладают устойчивой динамикой по годам. Миграционная составляющая испытывает колебания из года в год.</w:t>
      </w:r>
    </w:p>
    <w:p w:rsidR="00E717AC" w:rsidRPr="00467CBF" w:rsidRDefault="00E717AC" w:rsidP="00E71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 xml:space="preserve">Миграционный прирост населения в 2016 году значительно увеличился по сравнению с 2015 годом и составил 684 человека (2015 год – 381). По оценке в 2017 году число прибывших в город составит 3 500 человек, а выбывших – 3 110 человек, миграционное увеличение количества жителей произойдёт на 390 человек. До 2020 года прогнозируется положительное сальдо миграции, в среднем, миграционный прирост составит </w:t>
      </w:r>
      <w:r w:rsidRPr="00903B75">
        <w:rPr>
          <w:rFonts w:ascii="Times New Roman" w:hAnsi="Times New Roman" w:cs="Times New Roman"/>
          <w:sz w:val="26"/>
          <w:szCs w:val="26"/>
        </w:rPr>
        <w:t>от 370 человек</w:t>
      </w:r>
      <w:r w:rsidRPr="00467CBF">
        <w:rPr>
          <w:rFonts w:ascii="Times New Roman" w:hAnsi="Times New Roman" w:cs="Times New Roman"/>
          <w:sz w:val="26"/>
          <w:szCs w:val="26"/>
        </w:rPr>
        <w:t xml:space="preserve"> по базовому варианту.</w:t>
      </w:r>
    </w:p>
    <w:p w:rsidR="00E717AC" w:rsidRPr="00467CBF" w:rsidRDefault="00E717AC" w:rsidP="00E717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Возрастная структура населения продолжит характеризоваться процессом смены поколений, обуславливающим снижение доли населения в трудоспособном возрасте.</w:t>
      </w:r>
    </w:p>
    <w:p w:rsidR="00E717AC" w:rsidRPr="00467CBF" w:rsidRDefault="00E717AC" w:rsidP="00E717AC">
      <w:pPr>
        <w:pStyle w:val="af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28"/>
        </w:rPr>
      </w:pPr>
    </w:p>
    <w:p w:rsidR="00E717AC" w:rsidRPr="00467CBF" w:rsidRDefault="00E717AC" w:rsidP="00A52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Возрастная структура населения города</w:t>
      </w:r>
      <w:r w:rsidR="00446D1C" w:rsidRPr="00467CBF">
        <w:rPr>
          <w:rFonts w:ascii="Times New Roman" w:hAnsi="Times New Roman" w:cs="Times New Roman"/>
          <w:sz w:val="26"/>
          <w:szCs w:val="26"/>
        </w:rPr>
        <w:t xml:space="preserve"> Когалыма (оценка):</w:t>
      </w:r>
      <w:r w:rsidRPr="00467CBF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9"/>
        <w:tblW w:w="9144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268"/>
        <w:gridCol w:w="2373"/>
      </w:tblGrid>
      <w:tr w:rsidR="00E717AC" w:rsidRPr="00467CBF" w:rsidTr="00922EF8">
        <w:tc>
          <w:tcPr>
            <w:tcW w:w="2093" w:type="dxa"/>
          </w:tcPr>
          <w:p w:rsidR="00E717AC" w:rsidRPr="00467CBF" w:rsidRDefault="00E717AC" w:rsidP="0044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</w:rPr>
              <w:t>Прогнозируемый период</w:t>
            </w:r>
          </w:p>
        </w:tc>
        <w:tc>
          <w:tcPr>
            <w:tcW w:w="2410" w:type="dxa"/>
          </w:tcPr>
          <w:p w:rsidR="00E717AC" w:rsidRPr="00467CBF" w:rsidRDefault="00E717AC" w:rsidP="0044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</w:rPr>
              <w:t>Население</w:t>
            </w:r>
          </w:p>
          <w:p w:rsidR="00E717AC" w:rsidRPr="00467CBF" w:rsidRDefault="00E717AC" w:rsidP="0044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</w:rPr>
              <w:t>в трудоспособном возрасте (%)</w:t>
            </w:r>
          </w:p>
        </w:tc>
        <w:tc>
          <w:tcPr>
            <w:tcW w:w="2268" w:type="dxa"/>
          </w:tcPr>
          <w:p w:rsidR="00E717AC" w:rsidRPr="00467CBF" w:rsidRDefault="00E717AC" w:rsidP="0044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</w:rPr>
              <w:t>Население старше трудоспособного возраста (%)</w:t>
            </w:r>
          </w:p>
        </w:tc>
        <w:tc>
          <w:tcPr>
            <w:tcW w:w="2373" w:type="dxa"/>
          </w:tcPr>
          <w:p w:rsidR="00E717AC" w:rsidRPr="00467CBF" w:rsidRDefault="00E717AC" w:rsidP="0044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</w:rPr>
              <w:t>Население младше трудоспособного возраста (%)</w:t>
            </w:r>
          </w:p>
        </w:tc>
      </w:tr>
      <w:tr w:rsidR="00E717AC" w:rsidRPr="00467CBF" w:rsidTr="00922EF8">
        <w:tc>
          <w:tcPr>
            <w:tcW w:w="2093" w:type="dxa"/>
          </w:tcPr>
          <w:p w:rsidR="00E717AC" w:rsidRPr="00FD1E00" w:rsidRDefault="00E717AC" w:rsidP="00922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на 01.01.2016</w:t>
            </w:r>
          </w:p>
        </w:tc>
        <w:tc>
          <w:tcPr>
            <w:tcW w:w="2410" w:type="dxa"/>
          </w:tcPr>
          <w:p w:rsidR="00E717AC" w:rsidRPr="00FD1E00" w:rsidRDefault="00E717AC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67,2</w:t>
            </w:r>
          </w:p>
        </w:tc>
        <w:tc>
          <w:tcPr>
            <w:tcW w:w="2268" w:type="dxa"/>
          </w:tcPr>
          <w:p w:rsidR="00E717AC" w:rsidRPr="00FD1E00" w:rsidRDefault="00E717AC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73" w:type="dxa"/>
          </w:tcPr>
          <w:p w:rsidR="00E717AC" w:rsidRPr="00FD1E00" w:rsidRDefault="00E717AC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22,8</w:t>
            </w:r>
          </w:p>
        </w:tc>
      </w:tr>
      <w:tr w:rsidR="00E717AC" w:rsidRPr="00467CBF" w:rsidTr="00922EF8">
        <w:tc>
          <w:tcPr>
            <w:tcW w:w="2093" w:type="dxa"/>
          </w:tcPr>
          <w:p w:rsidR="00E717AC" w:rsidRPr="00FD1E00" w:rsidRDefault="00E717AC" w:rsidP="00922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01.01.2017 </w:t>
            </w:r>
          </w:p>
        </w:tc>
        <w:tc>
          <w:tcPr>
            <w:tcW w:w="2410" w:type="dxa"/>
          </w:tcPr>
          <w:p w:rsidR="00E717AC" w:rsidRPr="00FD1E00" w:rsidRDefault="00A52332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65,8</w:t>
            </w:r>
          </w:p>
        </w:tc>
        <w:tc>
          <w:tcPr>
            <w:tcW w:w="2268" w:type="dxa"/>
          </w:tcPr>
          <w:p w:rsidR="00E717AC" w:rsidRPr="00FD1E00" w:rsidRDefault="00A52332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2373" w:type="dxa"/>
          </w:tcPr>
          <w:p w:rsidR="00E717AC" w:rsidRPr="00FD1E00" w:rsidRDefault="00A52332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22,7</w:t>
            </w:r>
          </w:p>
        </w:tc>
      </w:tr>
      <w:tr w:rsidR="00E717AC" w:rsidRPr="00467CBF" w:rsidTr="00922EF8">
        <w:tc>
          <w:tcPr>
            <w:tcW w:w="2093" w:type="dxa"/>
          </w:tcPr>
          <w:p w:rsidR="00E717AC" w:rsidRPr="00FD1E00" w:rsidRDefault="00E717AC" w:rsidP="00922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на 01.01.2018</w:t>
            </w:r>
          </w:p>
        </w:tc>
        <w:tc>
          <w:tcPr>
            <w:tcW w:w="2410" w:type="dxa"/>
          </w:tcPr>
          <w:p w:rsidR="00E717AC" w:rsidRPr="00FD1E00" w:rsidRDefault="00A52332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64,3</w:t>
            </w:r>
          </w:p>
        </w:tc>
        <w:tc>
          <w:tcPr>
            <w:tcW w:w="2268" w:type="dxa"/>
          </w:tcPr>
          <w:p w:rsidR="00E717AC" w:rsidRPr="00FD1E00" w:rsidRDefault="00A52332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  <w:tc>
          <w:tcPr>
            <w:tcW w:w="2373" w:type="dxa"/>
          </w:tcPr>
          <w:p w:rsidR="00E717AC" w:rsidRPr="00FD1E00" w:rsidRDefault="00A52332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22,7</w:t>
            </w:r>
          </w:p>
        </w:tc>
      </w:tr>
      <w:tr w:rsidR="00E717AC" w:rsidRPr="00467CBF" w:rsidTr="00922EF8">
        <w:tc>
          <w:tcPr>
            <w:tcW w:w="2093" w:type="dxa"/>
          </w:tcPr>
          <w:p w:rsidR="00E717AC" w:rsidRPr="00FD1E00" w:rsidRDefault="00E717AC" w:rsidP="00922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на 01.01.2019</w:t>
            </w:r>
          </w:p>
        </w:tc>
        <w:tc>
          <w:tcPr>
            <w:tcW w:w="2410" w:type="dxa"/>
          </w:tcPr>
          <w:p w:rsidR="00E717AC" w:rsidRPr="00FD1E00" w:rsidRDefault="00A52332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63,5</w:t>
            </w:r>
          </w:p>
        </w:tc>
        <w:tc>
          <w:tcPr>
            <w:tcW w:w="2268" w:type="dxa"/>
          </w:tcPr>
          <w:p w:rsidR="00E717AC" w:rsidRPr="00FD1E00" w:rsidRDefault="00A52332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13,9</w:t>
            </w:r>
          </w:p>
        </w:tc>
        <w:tc>
          <w:tcPr>
            <w:tcW w:w="2373" w:type="dxa"/>
          </w:tcPr>
          <w:p w:rsidR="00E717AC" w:rsidRPr="00FD1E00" w:rsidRDefault="00A52332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22,6</w:t>
            </w:r>
          </w:p>
        </w:tc>
      </w:tr>
      <w:tr w:rsidR="00E717AC" w:rsidRPr="00467CBF" w:rsidTr="00922EF8">
        <w:tc>
          <w:tcPr>
            <w:tcW w:w="2093" w:type="dxa"/>
          </w:tcPr>
          <w:p w:rsidR="00E717AC" w:rsidRPr="00FD1E00" w:rsidRDefault="00E717AC" w:rsidP="00922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на 01.01.2020</w:t>
            </w:r>
          </w:p>
        </w:tc>
        <w:tc>
          <w:tcPr>
            <w:tcW w:w="2410" w:type="dxa"/>
          </w:tcPr>
          <w:p w:rsidR="00E717AC" w:rsidRPr="00FD1E00" w:rsidRDefault="00A52332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62,9</w:t>
            </w:r>
          </w:p>
        </w:tc>
        <w:tc>
          <w:tcPr>
            <w:tcW w:w="2268" w:type="dxa"/>
          </w:tcPr>
          <w:p w:rsidR="00E717AC" w:rsidRPr="00FD1E00" w:rsidRDefault="00A52332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2373" w:type="dxa"/>
          </w:tcPr>
          <w:p w:rsidR="00E717AC" w:rsidRPr="00FD1E00" w:rsidRDefault="00A52332" w:rsidP="00A523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E00">
              <w:rPr>
                <w:rFonts w:ascii="Times New Roman" w:hAnsi="Times New Roman" w:cs="Times New Roman"/>
                <w:sz w:val="26"/>
                <w:szCs w:val="26"/>
              </w:rPr>
              <w:t>22,6</w:t>
            </w:r>
          </w:p>
        </w:tc>
      </w:tr>
    </w:tbl>
    <w:p w:rsidR="000610E8" w:rsidRPr="00467CBF" w:rsidRDefault="000610E8" w:rsidP="0006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sz w:val="26"/>
          <w:szCs w:val="26"/>
        </w:rPr>
        <w:t>Среднегодовая численность постоянного населения города Когалыма в 201</w:t>
      </w:r>
      <w:r w:rsidR="00A52332" w:rsidRPr="00467CBF">
        <w:rPr>
          <w:rFonts w:ascii="Times New Roman" w:hAnsi="Times New Roman" w:cs="Times New Roman"/>
          <w:sz w:val="26"/>
          <w:szCs w:val="26"/>
        </w:rPr>
        <w:t>8</w:t>
      </w:r>
      <w:r w:rsidRPr="00467CBF">
        <w:rPr>
          <w:rFonts w:ascii="Times New Roman" w:hAnsi="Times New Roman" w:cs="Times New Roman"/>
          <w:sz w:val="26"/>
          <w:szCs w:val="26"/>
        </w:rPr>
        <w:t xml:space="preserve"> году по прогнозу составит </w:t>
      </w:r>
      <w:r w:rsidR="00A52332" w:rsidRPr="00467CBF">
        <w:rPr>
          <w:rFonts w:ascii="Times New Roman" w:hAnsi="Times New Roman" w:cs="Times New Roman"/>
          <w:sz w:val="26"/>
          <w:szCs w:val="26"/>
        </w:rPr>
        <w:t>66,</w:t>
      </w:r>
      <w:r w:rsidR="001342F0">
        <w:rPr>
          <w:rFonts w:ascii="Times New Roman" w:hAnsi="Times New Roman" w:cs="Times New Roman"/>
          <w:sz w:val="26"/>
          <w:szCs w:val="26"/>
        </w:rPr>
        <w:t>6</w:t>
      </w:r>
      <w:r w:rsidRPr="00467CBF">
        <w:rPr>
          <w:rFonts w:ascii="Times New Roman" w:hAnsi="Times New Roman" w:cs="Times New Roman"/>
          <w:sz w:val="26"/>
          <w:szCs w:val="26"/>
        </w:rPr>
        <w:t xml:space="preserve"> тыс. человек с перспективой увеличения к 20</w:t>
      </w:r>
      <w:r w:rsidR="00A52332" w:rsidRPr="00467CBF">
        <w:rPr>
          <w:rFonts w:ascii="Times New Roman" w:hAnsi="Times New Roman" w:cs="Times New Roman"/>
          <w:sz w:val="26"/>
          <w:szCs w:val="26"/>
        </w:rPr>
        <w:t xml:space="preserve">20 </w:t>
      </w:r>
      <w:r w:rsidRPr="00467CBF">
        <w:rPr>
          <w:rFonts w:ascii="Times New Roman" w:hAnsi="Times New Roman" w:cs="Times New Roman"/>
          <w:sz w:val="26"/>
          <w:szCs w:val="26"/>
        </w:rPr>
        <w:t xml:space="preserve">году </w:t>
      </w:r>
      <w:r w:rsidRPr="00903B75">
        <w:rPr>
          <w:rFonts w:ascii="Times New Roman" w:hAnsi="Times New Roman" w:cs="Times New Roman"/>
          <w:sz w:val="26"/>
          <w:szCs w:val="26"/>
        </w:rPr>
        <w:t xml:space="preserve">до </w:t>
      </w:r>
      <w:r w:rsidR="00A52332" w:rsidRPr="00903B75">
        <w:rPr>
          <w:rFonts w:ascii="Times New Roman" w:hAnsi="Times New Roman" w:cs="Times New Roman"/>
          <w:sz w:val="26"/>
          <w:szCs w:val="26"/>
        </w:rPr>
        <w:t>68,</w:t>
      </w:r>
      <w:r w:rsidR="00903B75" w:rsidRPr="00903B75">
        <w:rPr>
          <w:rFonts w:ascii="Times New Roman" w:hAnsi="Times New Roman" w:cs="Times New Roman"/>
          <w:sz w:val="26"/>
          <w:szCs w:val="26"/>
        </w:rPr>
        <w:t>8</w:t>
      </w:r>
      <w:r w:rsidRPr="00903B75">
        <w:rPr>
          <w:rFonts w:ascii="Times New Roman" w:hAnsi="Times New Roman" w:cs="Times New Roman"/>
          <w:sz w:val="26"/>
          <w:szCs w:val="26"/>
        </w:rPr>
        <w:t xml:space="preserve"> тыс.</w:t>
      </w:r>
      <w:r w:rsidRPr="00467CBF">
        <w:rPr>
          <w:rFonts w:ascii="Times New Roman" w:hAnsi="Times New Roman" w:cs="Times New Roman"/>
          <w:sz w:val="26"/>
          <w:szCs w:val="26"/>
        </w:rPr>
        <w:t xml:space="preserve"> человек по </w:t>
      </w:r>
      <w:r w:rsidR="003F7F2C" w:rsidRPr="00467CBF">
        <w:rPr>
          <w:rFonts w:ascii="Times New Roman" w:hAnsi="Times New Roman" w:cs="Times New Roman"/>
          <w:sz w:val="26"/>
          <w:szCs w:val="26"/>
        </w:rPr>
        <w:t xml:space="preserve">базовому </w:t>
      </w:r>
      <w:r w:rsidRPr="00467CBF">
        <w:rPr>
          <w:rFonts w:ascii="Times New Roman" w:hAnsi="Times New Roman" w:cs="Times New Roman"/>
          <w:sz w:val="26"/>
          <w:szCs w:val="26"/>
        </w:rPr>
        <w:t xml:space="preserve">варианту. </w:t>
      </w:r>
    </w:p>
    <w:p w:rsidR="00051BE3" w:rsidRPr="00467CBF" w:rsidRDefault="00051BE3" w:rsidP="009D5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7F2C" w:rsidRPr="00467CBF" w:rsidRDefault="003F7F2C" w:rsidP="003F7F2C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65D4D" w:rsidRPr="00096569" w:rsidRDefault="00E34AC6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6" w:name="_Toc498075902"/>
      <w:r>
        <w:rPr>
          <w:rFonts w:ascii="Times New Roman" w:hAnsi="Times New Roman" w:cs="Times New Roman"/>
          <w:b/>
          <w:color w:val="auto"/>
          <w:sz w:val="26"/>
          <w:szCs w:val="26"/>
        </w:rPr>
        <w:t>8</w:t>
      </w:r>
      <w:r w:rsidR="00051BE3" w:rsidRPr="00096569">
        <w:rPr>
          <w:rFonts w:ascii="Times New Roman" w:hAnsi="Times New Roman" w:cs="Times New Roman"/>
          <w:b/>
          <w:color w:val="auto"/>
          <w:sz w:val="26"/>
          <w:szCs w:val="26"/>
        </w:rPr>
        <w:t>. РАЗВИТИЕ ОТРАСЛЕЙ СОЦИАЛЬНОЙ СФЕРЫ</w:t>
      </w:r>
      <w:bookmarkEnd w:id="16"/>
    </w:p>
    <w:p w:rsidR="00051BE3" w:rsidRPr="00096569" w:rsidRDefault="00051BE3" w:rsidP="009D5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1BE3" w:rsidRPr="00096569" w:rsidRDefault="00051BE3" w:rsidP="005B3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Приоритетными направлениями развития социально-культурной сферы на 201</w:t>
      </w:r>
      <w:r w:rsidR="00EE1B87" w:rsidRPr="00096569">
        <w:rPr>
          <w:rFonts w:ascii="Times New Roman" w:hAnsi="Times New Roman" w:cs="Times New Roman"/>
          <w:sz w:val="26"/>
          <w:szCs w:val="26"/>
        </w:rPr>
        <w:t>8</w:t>
      </w:r>
      <w:r w:rsidRPr="00096569">
        <w:rPr>
          <w:rFonts w:ascii="Times New Roman" w:hAnsi="Times New Roman" w:cs="Times New Roman"/>
          <w:sz w:val="26"/>
          <w:szCs w:val="26"/>
        </w:rPr>
        <w:t xml:space="preserve"> – 20</w:t>
      </w:r>
      <w:r w:rsidR="00EE1B87" w:rsidRPr="00096569">
        <w:rPr>
          <w:rFonts w:ascii="Times New Roman" w:hAnsi="Times New Roman" w:cs="Times New Roman"/>
          <w:sz w:val="26"/>
          <w:szCs w:val="26"/>
        </w:rPr>
        <w:t>20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годы станут повышение эффективности функционирования и обеспечение доступности учреждений социальной сферы, дальнейшее развитие материально-технической базы учреждений.</w:t>
      </w:r>
    </w:p>
    <w:p w:rsidR="00153675" w:rsidRPr="00096569" w:rsidRDefault="00153675" w:rsidP="005B31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1BE3" w:rsidRPr="00096569" w:rsidRDefault="00051BE3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7" w:name="_Toc498075903"/>
      <w:r w:rsidRPr="00096569">
        <w:rPr>
          <w:rFonts w:ascii="Times New Roman" w:hAnsi="Times New Roman" w:cs="Times New Roman"/>
          <w:color w:val="auto"/>
          <w:sz w:val="26"/>
          <w:szCs w:val="26"/>
        </w:rPr>
        <w:t>Образование</w:t>
      </w:r>
      <w:bookmarkEnd w:id="17"/>
    </w:p>
    <w:p w:rsidR="00051BE3" w:rsidRPr="00096569" w:rsidRDefault="00051BE3" w:rsidP="005B3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1BE3" w:rsidRPr="00096569" w:rsidRDefault="00051BE3" w:rsidP="005B3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Основными задачами в области образования в прогнозном периоде будут являться: ускорение модернизации образования, стимулирование доступности качественного образования, обеспечение развития его инновационного характера.</w:t>
      </w:r>
    </w:p>
    <w:p w:rsidR="0015117A" w:rsidRPr="00096569" w:rsidRDefault="0084190F" w:rsidP="008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Одной из приоритетных задач является обеспечение доступности и повышение качества дошкольного образования. В городе на 1 января 201</w:t>
      </w:r>
      <w:r w:rsidR="0015117A" w:rsidRPr="00096569">
        <w:rPr>
          <w:rFonts w:ascii="Times New Roman" w:hAnsi="Times New Roman" w:cs="Times New Roman"/>
          <w:sz w:val="26"/>
          <w:szCs w:val="26"/>
        </w:rPr>
        <w:t>7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года функционировало </w:t>
      </w:r>
      <w:r w:rsidR="005A443A" w:rsidRPr="00096569">
        <w:rPr>
          <w:rFonts w:ascii="Times New Roman" w:hAnsi="Times New Roman" w:cs="Times New Roman"/>
          <w:sz w:val="26"/>
          <w:szCs w:val="26"/>
        </w:rPr>
        <w:t>7 дошкольных образовательных организаций</w:t>
      </w:r>
      <w:r w:rsidRPr="00096569">
        <w:rPr>
          <w:rFonts w:ascii="Times New Roman" w:hAnsi="Times New Roman" w:cs="Times New Roman"/>
          <w:sz w:val="26"/>
          <w:szCs w:val="26"/>
        </w:rPr>
        <w:t xml:space="preserve">, в которых воспитывалось </w:t>
      </w:r>
      <w:r w:rsidR="0015117A" w:rsidRPr="00096569">
        <w:rPr>
          <w:rFonts w:ascii="Times New Roman" w:hAnsi="Times New Roman" w:cs="Times New Roman"/>
          <w:sz w:val="26"/>
          <w:szCs w:val="26"/>
        </w:rPr>
        <w:t>4 132</w:t>
      </w:r>
      <w:r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="0015117A" w:rsidRPr="00096569">
        <w:rPr>
          <w:rFonts w:ascii="Times New Roman" w:hAnsi="Times New Roman" w:cs="Times New Roman"/>
          <w:sz w:val="26"/>
          <w:szCs w:val="26"/>
        </w:rPr>
        <w:t>ребенка</w:t>
      </w:r>
      <w:r w:rsidRPr="0009656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4543A" w:rsidRPr="00096569" w:rsidRDefault="0034543A" w:rsidP="003454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Количество мест в ДОО в соответствии с нормами СанПиН (фактическая мощность по паспорту образовательной организации) в 2017 году составляет 4 276. Укомплектованность групп в дошкольных образовательных организациях в 1 квартале 2017 года составила 97%. Данный факт объясняется тем, что имеются свободные места в группах старшего дошкольного возраста.</w:t>
      </w:r>
    </w:p>
    <w:p w:rsidR="0034543A" w:rsidRPr="00096569" w:rsidRDefault="0034543A" w:rsidP="0034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29.12.2012 №273-ФЗ «Об образовании в РФ», с целью поддержки и развития семейного воспитания на базе всех дошкольных образовательных организаций в 2017 году продолжают функционировать консультационные пункты по оказанию методической, диагностической и консультационной помощи семьям, воспитывающим детей дошкольного возраста на дому.</w:t>
      </w:r>
    </w:p>
    <w:p w:rsidR="0034543A" w:rsidRPr="00096569" w:rsidRDefault="0034543A" w:rsidP="003454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 xml:space="preserve">Продолжают работу два центра временного пребывания детей: «Теремок» и «Лунтик», предоставляющие на платной основе услуги по уходу и присмотру за детьми раннего возраста (22 места). В 2017 году еще 1 индивидуальный предприниматель начал оказывать услуги по присмотру и уходу за детьми раннего возраста (15 мест). </w:t>
      </w:r>
    </w:p>
    <w:p w:rsidR="00051BE3" w:rsidRPr="00096569" w:rsidRDefault="00051BE3" w:rsidP="00A41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Численность детей в дошкольных образовательных организациях в прогнозном периоде будет иметь положительную динамику, и к 20</w:t>
      </w:r>
      <w:r w:rsidR="0015117A" w:rsidRPr="00096569">
        <w:rPr>
          <w:rFonts w:ascii="Times New Roman" w:hAnsi="Times New Roman" w:cs="Times New Roman"/>
          <w:sz w:val="26"/>
          <w:szCs w:val="26"/>
        </w:rPr>
        <w:t>20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году составит </w:t>
      </w:r>
      <w:r w:rsidR="0015117A" w:rsidRPr="00096569">
        <w:rPr>
          <w:rFonts w:ascii="Times New Roman" w:hAnsi="Times New Roman" w:cs="Times New Roman"/>
          <w:sz w:val="26"/>
          <w:szCs w:val="26"/>
        </w:rPr>
        <w:t xml:space="preserve">свыше 4,2 тыс. человек </w:t>
      </w:r>
      <w:r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="005A443A" w:rsidRPr="00096569">
        <w:rPr>
          <w:rFonts w:ascii="Times New Roman" w:hAnsi="Times New Roman" w:cs="Times New Roman"/>
          <w:sz w:val="26"/>
          <w:szCs w:val="26"/>
        </w:rPr>
        <w:t xml:space="preserve">по базовому варианту </w:t>
      </w:r>
      <w:r w:rsidRPr="00096569">
        <w:rPr>
          <w:rFonts w:ascii="Times New Roman" w:hAnsi="Times New Roman" w:cs="Times New Roman"/>
          <w:sz w:val="26"/>
          <w:szCs w:val="26"/>
        </w:rPr>
        <w:t xml:space="preserve">или </w:t>
      </w:r>
      <w:r w:rsidR="0028660C" w:rsidRPr="00096569">
        <w:rPr>
          <w:rFonts w:ascii="Times New Roman" w:hAnsi="Times New Roman" w:cs="Times New Roman"/>
          <w:sz w:val="26"/>
          <w:szCs w:val="26"/>
        </w:rPr>
        <w:t>101,</w:t>
      </w:r>
      <w:r w:rsidR="0015117A" w:rsidRPr="00096569">
        <w:rPr>
          <w:rFonts w:ascii="Times New Roman" w:hAnsi="Times New Roman" w:cs="Times New Roman"/>
          <w:sz w:val="26"/>
          <w:szCs w:val="26"/>
        </w:rPr>
        <w:t>9</w:t>
      </w:r>
      <w:r w:rsidRPr="00096569">
        <w:rPr>
          <w:rFonts w:ascii="Times New Roman" w:hAnsi="Times New Roman" w:cs="Times New Roman"/>
          <w:sz w:val="26"/>
          <w:szCs w:val="26"/>
        </w:rPr>
        <w:t>% к уровню 201</w:t>
      </w:r>
      <w:r w:rsidR="0015117A" w:rsidRPr="00096569">
        <w:rPr>
          <w:rFonts w:ascii="Times New Roman" w:hAnsi="Times New Roman" w:cs="Times New Roman"/>
          <w:sz w:val="26"/>
          <w:szCs w:val="26"/>
        </w:rPr>
        <w:t>6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A41270" w:rsidRPr="00096569" w:rsidRDefault="00C833CA" w:rsidP="003454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="00051BE3" w:rsidRPr="00096569">
        <w:rPr>
          <w:rFonts w:ascii="Times New Roman" w:hAnsi="Times New Roman" w:cs="Times New Roman"/>
          <w:sz w:val="26"/>
          <w:szCs w:val="26"/>
        </w:rPr>
        <w:t xml:space="preserve">беспеченность дошкольными образовательными </w:t>
      </w:r>
      <w:r w:rsidRPr="00096569">
        <w:rPr>
          <w:rFonts w:ascii="Times New Roman" w:hAnsi="Times New Roman" w:cs="Times New Roman"/>
          <w:sz w:val="26"/>
          <w:szCs w:val="26"/>
        </w:rPr>
        <w:t>организациями</w:t>
      </w:r>
      <w:r w:rsidR="00E716CF" w:rsidRPr="00096569">
        <w:rPr>
          <w:rFonts w:ascii="Times New Roman" w:hAnsi="Times New Roman" w:cs="Times New Roman"/>
          <w:sz w:val="26"/>
          <w:szCs w:val="26"/>
        </w:rPr>
        <w:t xml:space="preserve"> в 201</w:t>
      </w:r>
      <w:r w:rsidR="0015117A" w:rsidRPr="00096569">
        <w:rPr>
          <w:rFonts w:ascii="Times New Roman" w:hAnsi="Times New Roman" w:cs="Times New Roman"/>
          <w:sz w:val="26"/>
          <w:szCs w:val="26"/>
        </w:rPr>
        <w:t>6</w:t>
      </w:r>
      <w:r w:rsidR="00E716CF" w:rsidRPr="00096569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B77764" w:rsidRPr="00096569">
        <w:rPr>
          <w:rFonts w:ascii="Times New Roman" w:hAnsi="Times New Roman" w:cs="Times New Roman"/>
          <w:sz w:val="26"/>
          <w:szCs w:val="26"/>
        </w:rPr>
        <w:t>700</w:t>
      </w:r>
      <w:r w:rsidR="0015117A"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="00E716CF" w:rsidRPr="00096569">
        <w:rPr>
          <w:rFonts w:ascii="Times New Roman" w:hAnsi="Times New Roman" w:cs="Times New Roman"/>
          <w:sz w:val="26"/>
          <w:szCs w:val="26"/>
        </w:rPr>
        <w:t>мест</w:t>
      </w:r>
      <w:r w:rsidR="00051BE3" w:rsidRPr="00096569">
        <w:rPr>
          <w:rFonts w:ascii="Times New Roman" w:hAnsi="Times New Roman" w:cs="Times New Roman"/>
          <w:sz w:val="26"/>
          <w:szCs w:val="26"/>
        </w:rPr>
        <w:t xml:space="preserve"> на 1000 детей в возрасте 1-6 лет.</w:t>
      </w:r>
      <w:r w:rsidR="0034543A" w:rsidRPr="00096569">
        <w:rPr>
          <w:rFonts w:ascii="Times New Roman" w:hAnsi="Times New Roman" w:cs="Times New Roman"/>
          <w:sz w:val="26"/>
          <w:szCs w:val="26"/>
        </w:rPr>
        <w:t xml:space="preserve"> В</w:t>
      </w:r>
      <w:r w:rsidR="00A41270" w:rsidRPr="00096569">
        <w:rPr>
          <w:rFonts w:ascii="Times New Roman" w:hAnsi="Times New Roman" w:cs="Times New Roman"/>
          <w:sz w:val="26"/>
          <w:szCs w:val="26"/>
        </w:rPr>
        <w:t xml:space="preserve"> 201</w:t>
      </w:r>
      <w:r w:rsidR="0015117A" w:rsidRPr="00096569">
        <w:rPr>
          <w:rFonts w:ascii="Times New Roman" w:hAnsi="Times New Roman" w:cs="Times New Roman"/>
          <w:sz w:val="26"/>
          <w:szCs w:val="26"/>
        </w:rPr>
        <w:t xml:space="preserve">7 </w:t>
      </w:r>
      <w:r w:rsidR="00A41270" w:rsidRPr="00096569">
        <w:rPr>
          <w:rFonts w:ascii="Times New Roman" w:hAnsi="Times New Roman" w:cs="Times New Roman"/>
          <w:sz w:val="26"/>
          <w:szCs w:val="26"/>
        </w:rPr>
        <w:t xml:space="preserve">году </w:t>
      </w:r>
      <w:r w:rsidR="0034543A" w:rsidRPr="00096569">
        <w:rPr>
          <w:rFonts w:ascii="Times New Roman" w:hAnsi="Times New Roman" w:cs="Times New Roman"/>
          <w:sz w:val="26"/>
          <w:szCs w:val="26"/>
        </w:rPr>
        <w:t xml:space="preserve">данный показатель по оценке </w:t>
      </w:r>
      <w:r w:rsidR="00A41270" w:rsidRPr="00096569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B77764" w:rsidRPr="00096569">
        <w:rPr>
          <w:rFonts w:ascii="Times New Roman" w:hAnsi="Times New Roman" w:cs="Times New Roman"/>
          <w:sz w:val="26"/>
          <w:szCs w:val="26"/>
        </w:rPr>
        <w:t>696</w:t>
      </w:r>
      <w:r w:rsidR="00A41270" w:rsidRPr="00096569">
        <w:rPr>
          <w:rFonts w:ascii="Times New Roman" w:hAnsi="Times New Roman" w:cs="Times New Roman"/>
          <w:sz w:val="26"/>
          <w:szCs w:val="26"/>
        </w:rPr>
        <w:t xml:space="preserve"> мест на</w:t>
      </w:r>
      <w:r w:rsidR="0015117A" w:rsidRPr="00096569">
        <w:rPr>
          <w:rFonts w:ascii="Times New Roman" w:hAnsi="Times New Roman" w:cs="Times New Roman"/>
          <w:sz w:val="26"/>
          <w:szCs w:val="26"/>
        </w:rPr>
        <w:t xml:space="preserve"> 1000 детей в возрасте 1-6 лет, к 2020</w:t>
      </w:r>
      <w:r w:rsidR="00490B93" w:rsidRPr="00096569">
        <w:rPr>
          <w:rFonts w:ascii="Times New Roman" w:hAnsi="Times New Roman" w:cs="Times New Roman"/>
          <w:sz w:val="26"/>
          <w:szCs w:val="26"/>
        </w:rPr>
        <w:t xml:space="preserve"> году </w:t>
      </w:r>
      <w:r w:rsidR="00A41270" w:rsidRPr="00096569">
        <w:rPr>
          <w:rFonts w:ascii="Times New Roman" w:hAnsi="Times New Roman" w:cs="Times New Roman"/>
          <w:sz w:val="26"/>
          <w:szCs w:val="26"/>
        </w:rPr>
        <w:t xml:space="preserve">уровень обеспеченности </w:t>
      </w:r>
      <w:r w:rsidR="00490B93" w:rsidRPr="00096569">
        <w:rPr>
          <w:rFonts w:ascii="Times New Roman" w:hAnsi="Times New Roman" w:cs="Times New Roman"/>
          <w:sz w:val="26"/>
          <w:szCs w:val="26"/>
        </w:rPr>
        <w:t>составит</w:t>
      </w:r>
      <w:r w:rsidR="00A41270"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="00B77764" w:rsidRPr="00096569">
        <w:rPr>
          <w:rFonts w:ascii="Times New Roman" w:hAnsi="Times New Roman" w:cs="Times New Roman"/>
          <w:sz w:val="26"/>
          <w:szCs w:val="26"/>
        </w:rPr>
        <w:t>730</w:t>
      </w:r>
      <w:r w:rsidR="004A7CA9"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="00857584" w:rsidRPr="00096569">
        <w:rPr>
          <w:rFonts w:ascii="Times New Roman" w:hAnsi="Times New Roman" w:cs="Times New Roman"/>
          <w:sz w:val="26"/>
          <w:szCs w:val="26"/>
        </w:rPr>
        <w:t>мест</w:t>
      </w:r>
      <w:r w:rsidR="0015117A" w:rsidRPr="00096569">
        <w:rPr>
          <w:rFonts w:ascii="Times New Roman" w:hAnsi="Times New Roman" w:cs="Times New Roman"/>
          <w:sz w:val="26"/>
          <w:szCs w:val="26"/>
        </w:rPr>
        <w:t>.</w:t>
      </w:r>
    </w:p>
    <w:p w:rsidR="0034543A" w:rsidRPr="00096569" w:rsidRDefault="0034543A" w:rsidP="003454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За последние 5 лет потребность детей города Когалыма в возрасте от 3 до 7 лет в услугах дошкольного образования удовлетворена полностью.</w:t>
      </w:r>
    </w:p>
    <w:p w:rsidR="00051BE3" w:rsidRPr="00096569" w:rsidRDefault="00A41270" w:rsidP="00A41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В 201</w:t>
      </w:r>
      <w:r w:rsidR="0015117A" w:rsidRPr="00096569">
        <w:rPr>
          <w:rFonts w:ascii="Times New Roman" w:hAnsi="Times New Roman" w:cs="Times New Roman"/>
          <w:sz w:val="26"/>
          <w:szCs w:val="26"/>
        </w:rPr>
        <w:t>6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году в городе продолжал</w:t>
      </w:r>
      <w:r w:rsidR="00835599" w:rsidRPr="00096569">
        <w:rPr>
          <w:rFonts w:ascii="Times New Roman" w:hAnsi="Times New Roman" w:cs="Times New Roman"/>
          <w:sz w:val="26"/>
          <w:szCs w:val="26"/>
        </w:rPr>
        <w:t>и</w:t>
      </w:r>
      <w:r w:rsidRPr="00096569">
        <w:rPr>
          <w:rFonts w:ascii="Times New Roman" w:hAnsi="Times New Roman" w:cs="Times New Roman"/>
          <w:sz w:val="26"/>
          <w:szCs w:val="26"/>
        </w:rPr>
        <w:t xml:space="preserve"> работать 7 общеобразовательных </w:t>
      </w:r>
      <w:r w:rsidR="008449C4" w:rsidRPr="00096569">
        <w:rPr>
          <w:rFonts w:ascii="Times New Roman" w:hAnsi="Times New Roman" w:cs="Times New Roman"/>
          <w:sz w:val="26"/>
          <w:szCs w:val="26"/>
        </w:rPr>
        <w:t>организаций</w:t>
      </w:r>
      <w:r w:rsidR="004A7CA9" w:rsidRPr="00096569">
        <w:rPr>
          <w:rFonts w:ascii="Times New Roman" w:hAnsi="Times New Roman" w:cs="Times New Roman"/>
          <w:sz w:val="26"/>
          <w:szCs w:val="26"/>
        </w:rPr>
        <w:t>, в которых обучалось</w:t>
      </w:r>
      <w:r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="0015117A" w:rsidRPr="00096569">
        <w:rPr>
          <w:rFonts w:ascii="Times New Roman" w:hAnsi="Times New Roman" w:cs="Times New Roman"/>
          <w:sz w:val="26"/>
          <w:szCs w:val="26"/>
        </w:rPr>
        <w:t>7 258</w:t>
      </w:r>
      <w:r w:rsidRPr="00096569">
        <w:rPr>
          <w:rFonts w:ascii="Times New Roman" w:hAnsi="Times New Roman" w:cs="Times New Roman"/>
          <w:sz w:val="26"/>
          <w:szCs w:val="26"/>
        </w:rPr>
        <w:t xml:space="preserve"> человек. В дальнейшем прогнозируется увеличение численности учащихся в общеобразовательных организациях, которая к 20</w:t>
      </w:r>
      <w:r w:rsidR="0015117A" w:rsidRPr="00096569">
        <w:rPr>
          <w:rFonts w:ascii="Times New Roman" w:hAnsi="Times New Roman" w:cs="Times New Roman"/>
          <w:sz w:val="26"/>
          <w:szCs w:val="26"/>
        </w:rPr>
        <w:t>20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году составит </w:t>
      </w:r>
      <w:r w:rsidR="0015117A" w:rsidRPr="00096569">
        <w:rPr>
          <w:rFonts w:ascii="Times New Roman" w:hAnsi="Times New Roman" w:cs="Times New Roman"/>
          <w:sz w:val="26"/>
          <w:szCs w:val="26"/>
        </w:rPr>
        <w:t>7 850</w:t>
      </w:r>
      <w:r w:rsidRPr="00096569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C85D8F" w:rsidRPr="00096569" w:rsidRDefault="00512658" w:rsidP="00051B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В</w:t>
      </w:r>
      <w:r w:rsidR="00051BE3" w:rsidRPr="00096569">
        <w:rPr>
          <w:rFonts w:ascii="Times New Roman" w:hAnsi="Times New Roman" w:cs="Times New Roman"/>
          <w:sz w:val="26"/>
          <w:szCs w:val="26"/>
        </w:rPr>
        <w:t xml:space="preserve"> 201</w:t>
      </w:r>
      <w:r w:rsidR="00AF273C" w:rsidRPr="00096569">
        <w:rPr>
          <w:rFonts w:ascii="Times New Roman" w:hAnsi="Times New Roman" w:cs="Times New Roman"/>
          <w:sz w:val="26"/>
          <w:szCs w:val="26"/>
        </w:rPr>
        <w:t xml:space="preserve">6 </w:t>
      </w:r>
      <w:r w:rsidR="00051BE3" w:rsidRPr="00096569">
        <w:rPr>
          <w:rFonts w:ascii="Times New Roman" w:hAnsi="Times New Roman" w:cs="Times New Roman"/>
          <w:sz w:val="26"/>
          <w:szCs w:val="26"/>
        </w:rPr>
        <w:t xml:space="preserve">году </w:t>
      </w:r>
      <w:r w:rsidRPr="00096569">
        <w:rPr>
          <w:rFonts w:ascii="Times New Roman" w:hAnsi="Times New Roman" w:cs="Times New Roman"/>
          <w:sz w:val="26"/>
          <w:szCs w:val="26"/>
        </w:rPr>
        <w:t>снизилась доля учащихся</w:t>
      </w:r>
      <w:r w:rsidR="00051BE3" w:rsidRPr="00096569">
        <w:rPr>
          <w:rFonts w:ascii="Times New Roman" w:hAnsi="Times New Roman" w:cs="Times New Roman"/>
          <w:sz w:val="26"/>
          <w:szCs w:val="26"/>
        </w:rPr>
        <w:t xml:space="preserve">, занимающихся во вторую смену до </w:t>
      </w:r>
      <w:r w:rsidR="00AF273C" w:rsidRPr="00096569">
        <w:rPr>
          <w:rFonts w:ascii="Times New Roman" w:hAnsi="Times New Roman" w:cs="Times New Roman"/>
          <w:sz w:val="26"/>
          <w:szCs w:val="26"/>
        </w:rPr>
        <w:t>26,2</w:t>
      </w:r>
      <w:r w:rsidR="00886E51" w:rsidRPr="00096569">
        <w:rPr>
          <w:rFonts w:ascii="Times New Roman" w:hAnsi="Times New Roman" w:cs="Times New Roman"/>
          <w:sz w:val="26"/>
          <w:szCs w:val="26"/>
        </w:rPr>
        <w:t>% (в 201</w:t>
      </w:r>
      <w:r w:rsidR="00AF273C" w:rsidRPr="00096569">
        <w:rPr>
          <w:rFonts w:ascii="Times New Roman" w:hAnsi="Times New Roman" w:cs="Times New Roman"/>
          <w:sz w:val="26"/>
          <w:szCs w:val="26"/>
        </w:rPr>
        <w:t>5</w:t>
      </w:r>
      <w:r w:rsidR="00886E51" w:rsidRPr="00096569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AF273C" w:rsidRPr="00096569">
        <w:rPr>
          <w:rFonts w:ascii="Times New Roman" w:hAnsi="Times New Roman" w:cs="Times New Roman"/>
          <w:sz w:val="26"/>
          <w:szCs w:val="26"/>
        </w:rPr>
        <w:t>31,1</w:t>
      </w:r>
      <w:r w:rsidR="00886E51" w:rsidRPr="00096569">
        <w:rPr>
          <w:rFonts w:ascii="Times New Roman" w:hAnsi="Times New Roman" w:cs="Times New Roman"/>
          <w:sz w:val="26"/>
          <w:szCs w:val="26"/>
        </w:rPr>
        <w:t>%), в 201</w:t>
      </w:r>
      <w:r w:rsidR="00AF273C" w:rsidRPr="00096569">
        <w:rPr>
          <w:rFonts w:ascii="Times New Roman" w:hAnsi="Times New Roman" w:cs="Times New Roman"/>
          <w:sz w:val="26"/>
          <w:szCs w:val="26"/>
        </w:rPr>
        <w:t>7</w:t>
      </w:r>
      <w:r w:rsidR="00886E51" w:rsidRPr="00096569">
        <w:rPr>
          <w:rFonts w:ascii="Times New Roman" w:hAnsi="Times New Roman" w:cs="Times New Roman"/>
          <w:sz w:val="26"/>
          <w:szCs w:val="26"/>
        </w:rPr>
        <w:t xml:space="preserve"> году доля учащ</w:t>
      </w:r>
      <w:r w:rsidR="00AF273C" w:rsidRPr="00096569">
        <w:rPr>
          <w:rFonts w:ascii="Times New Roman" w:hAnsi="Times New Roman" w:cs="Times New Roman"/>
          <w:sz w:val="26"/>
          <w:szCs w:val="26"/>
        </w:rPr>
        <w:t>ихся во вторую смену составит</w:t>
      </w:r>
      <w:r w:rsidR="00716F24"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="00AF273C" w:rsidRPr="00096569">
        <w:rPr>
          <w:rFonts w:ascii="Times New Roman" w:hAnsi="Times New Roman" w:cs="Times New Roman"/>
          <w:sz w:val="26"/>
          <w:szCs w:val="26"/>
        </w:rPr>
        <w:t>26</w:t>
      </w:r>
      <w:r w:rsidR="00886E51" w:rsidRPr="00096569">
        <w:rPr>
          <w:rFonts w:ascii="Times New Roman" w:hAnsi="Times New Roman" w:cs="Times New Roman"/>
          <w:sz w:val="26"/>
          <w:szCs w:val="26"/>
        </w:rPr>
        <w:t>%</w:t>
      </w:r>
      <w:r w:rsidR="00AF273C" w:rsidRPr="00096569">
        <w:rPr>
          <w:rFonts w:ascii="Times New Roman" w:hAnsi="Times New Roman" w:cs="Times New Roman"/>
          <w:sz w:val="26"/>
          <w:szCs w:val="26"/>
        </w:rPr>
        <w:t>, с дальнейшим снижением до 25% к 2020 году</w:t>
      </w:r>
      <w:r w:rsidR="00886E51" w:rsidRPr="00096569">
        <w:rPr>
          <w:rFonts w:ascii="Times New Roman" w:hAnsi="Times New Roman" w:cs="Times New Roman"/>
          <w:sz w:val="26"/>
          <w:szCs w:val="26"/>
        </w:rPr>
        <w:t>.</w:t>
      </w:r>
    </w:p>
    <w:p w:rsidR="008A428D" w:rsidRPr="00096569" w:rsidRDefault="008A428D" w:rsidP="008A42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Дополнительные образовательные услуги для детей школьного возраста предоставляются на бесплатной основе по 6 направлениям на базе всех (7) общеобразовательных организаций и 2-х организаций дополнительного образования детей, а также в двух негосударственных образовательных учреждениях на платной основе.</w:t>
      </w:r>
    </w:p>
    <w:p w:rsidR="008A428D" w:rsidRPr="00096569" w:rsidRDefault="008A428D" w:rsidP="008A42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 xml:space="preserve">В 2016 году в кружках и секциях в образовательных организациях города Когалыма в возрасте от 5-18 лет занято 6889 человек (62,5%) из них: в школе 5019 чел.; в учреждениях дополнительного образования – 1870 чел. (1473 на бесплатной основе, 397 на платной основе). В учреждениях культуры и спорта в возрасте от 5-18 лет занимается 1 567 человек (21%), в 2015 году 3 031 человек (29%).  </w:t>
      </w:r>
    </w:p>
    <w:p w:rsidR="008A428D" w:rsidRPr="00096569" w:rsidRDefault="008A428D" w:rsidP="008A42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Доля детей, охваченных образовательными программами дополнительного образования детей, в общей численности детей и молодежи в возрасте 5-18 лет составляет 62,5 % или 6 889 человек, в 2015 году – 69%.</w:t>
      </w:r>
    </w:p>
    <w:p w:rsidR="00051BE3" w:rsidRPr="00096569" w:rsidRDefault="00051BE3" w:rsidP="00051B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51BE3" w:rsidRPr="00096569" w:rsidRDefault="00051BE3" w:rsidP="008B62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B6FCF" wp14:editId="41ED3ACE">
            <wp:extent cx="6143625" cy="3543300"/>
            <wp:effectExtent l="0" t="0" r="0" b="0"/>
            <wp:docPr id="9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51BE3" w:rsidRPr="00096569" w:rsidRDefault="00051BE3" w:rsidP="00051B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lastRenderedPageBreak/>
        <w:t>Систему среднего профессиональ</w:t>
      </w:r>
      <w:r w:rsidR="00095629" w:rsidRPr="00096569">
        <w:rPr>
          <w:rFonts w:ascii="Times New Roman" w:hAnsi="Times New Roman" w:cs="Times New Roman"/>
          <w:sz w:val="26"/>
          <w:szCs w:val="26"/>
        </w:rPr>
        <w:t>ного образования в городе в 2015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году представляло бюджетное учреждение профессионального образования Ханты-Мансийского автономного округа</w:t>
      </w:r>
      <w:r w:rsidR="00520FF2"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Pr="00096569">
        <w:rPr>
          <w:rFonts w:ascii="Times New Roman" w:hAnsi="Times New Roman" w:cs="Times New Roman"/>
          <w:sz w:val="26"/>
          <w:szCs w:val="26"/>
        </w:rPr>
        <w:t>-</w:t>
      </w:r>
      <w:r w:rsidR="00520FF2"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Pr="00096569">
        <w:rPr>
          <w:rFonts w:ascii="Times New Roman" w:hAnsi="Times New Roman" w:cs="Times New Roman"/>
          <w:sz w:val="26"/>
          <w:szCs w:val="26"/>
        </w:rPr>
        <w:t>Югры «Когалымский политехнический колледж»</w:t>
      </w:r>
      <w:r w:rsidR="00520FF2" w:rsidRPr="00096569">
        <w:rPr>
          <w:rFonts w:ascii="Times New Roman" w:hAnsi="Times New Roman" w:cs="Times New Roman"/>
          <w:sz w:val="26"/>
          <w:szCs w:val="26"/>
        </w:rPr>
        <w:t>.</w:t>
      </w:r>
      <w:r w:rsidRPr="00096569">
        <w:rPr>
          <w:rFonts w:ascii="Times New Roman" w:hAnsi="Times New Roman" w:cs="Times New Roman"/>
          <w:sz w:val="26"/>
          <w:szCs w:val="26"/>
        </w:rPr>
        <w:t xml:space="preserve"> Численность обучающихся в 201</w:t>
      </w:r>
      <w:r w:rsidR="00AC3E3C" w:rsidRPr="00096569">
        <w:rPr>
          <w:rFonts w:ascii="Times New Roman" w:hAnsi="Times New Roman" w:cs="Times New Roman"/>
          <w:sz w:val="26"/>
          <w:szCs w:val="26"/>
        </w:rPr>
        <w:t>6</w:t>
      </w:r>
      <w:r w:rsidR="00520FF2" w:rsidRPr="00096569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AC3E3C" w:rsidRPr="00096569">
        <w:rPr>
          <w:rFonts w:ascii="Times New Roman" w:hAnsi="Times New Roman" w:cs="Times New Roman"/>
          <w:sz w:val="26"/>
          <w:szCs w:val="26"/>
        </w:rPr>
        <w:t>498</w:t>
      </w:r>
      <w:r w:rsidR="00095629"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="00520FF2" w:rsidRPr="00096569">
        <w:rPr>
          <w:rFonts w:ascii="Times New Roman" w:hAnsi="Times New Roman" w:cs="Times New Roman"/>
          <w:sz w:val="26"/>
          <w:szCs w:val="26"/>
        </w:rPr>
        <w:t>человек.</w:t>
      </w:r>
    </w:p>
    <w:p w:rsidR="00EF6919" w:rsidRPr="00096569" w:rsidRDefault="00051BE3" w:rsidP="00051BE3">
      <w:pPr>
        <w:tabs>
          <w:tab w:val="left" w:pos="709"/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В целях обеспечения доступности качественного образования, соответствующего требованиям инновационного развития, современным потребностям общества и каждого жителя города Когалыма действует муниципальная программа «Развитие образования в городе Когалыме» (далее – муниципальная программа). Общий объем финансирования муниципальной программы</w:t>
      </w:r>
      <w:r w:rsidR="00095629" w:rsidRPr="00096569">
        <w:rPr>
          <w:rFonts w:ascii="Times New Roman" w:hAnsi="Times New Roman" w:cs="Times New Roman"/>
          <w:sz w:val="26"/>
          <w:szCs w:val="26"/>
        </w:rPr>
        <w:t xml:space="preserve"> на 201</w:t>
      </w:r>
      <w:r w:rsidR="00281E29">
        <w:rPr>
          <w:rFonts w:ascii="Times New Roman" w:hAnsi="Times New Roman" w:cs="Times New Roman"/>
          <w:sz w:val="26"/>
          <w:szCs w:val="26"/>
        </w:rPr>
        <w:t>6</w:t>
      </w:r>
      <w:r w:rsidR="00AC3E3C" w:rsidRPr="00096569">
        <w:rPr>
          <w:rFonts w:ascii="Times New Roman" w:hAnsi="Times New Roman" w:cs="Times New Roman"/>
          <w:sz w:val="26"/>
          <w:szCs w:val="26"/>
        </w:rPr>
        <w:t>-2019</w:t>
      </w:r>
      <w:r w:rsidR="00095629" w:rsidRPr="00096569">
        <w:rPr>
          <w:rFonts w:ascii="Times New Roman" w:hAnsi="Times New Roman" w:cs="Times New Roman"/>
          <w:sz w:val="26"/>
          <w:szCs w:val="26"/>
        </w:rPr>
        <w:t xml:space="preserve"> годы </w:t>
      </w:r>
      <w:r w:rsidRPr="00096569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D61D9C" w:rsidRPr="00096569">
        <w:rPr>
          <w:rFonts w:ascii="Times New Roman" w:hAnsi="Times New Roman" w:cs="Times New Roman"/>
          <w:sz w:val="26"/>
          <w:szCs w:val="26"/>
        </w:rPr>
        <w:t>7 </w:t>
      </w:r>
      <w:r w:rsidR="00281E29">
        <w:rPr>
          <w:rFonts w:ascii="Times New Roman" w:hAnsi="Times New Roman" w:cs="Times New Roman"/>
          <w:sz w:val="26"/>
          <w:szCs w:val="26"/>
        </w:rPr>
        <w:t>385</w:t>
      </w:r>
      <w:r w:rsidR="00D61D9C" w:rsidRPr="00096569">
        <w:rPr>
          <w:rFonts w:ascii="Times New Roman" w:hAnsi="Times New Roman" w:cs="Times New Roman"/>
          <w:sz w:val="26"/>
          <w:szCs w:val="26"/>
        </w:rPr>
        <w:t> </w:t>
      </w:r>
      <w:r w:rsidR="00281E29">
        <w:rPr>
          <w:rFonts w:ascii="Times New Roman" w:hAnsi="Times New Roman" w:cs="Times New Roman"/>
          <w:sz w:val="26"/>
          <w:szCs w:val="26"/>
        </w:rPr>
        <w:t>853</w:t>
      </w:r>
      <w:r w:rsidR="00D61D9C" w:rsidRPr="00096569">
        <w:rPr>
          <w:rFonts w:ascii="Times New Roman" w:hAnsi="Times New Roman" w:cs="Times New Roman"/>
          <w:sz w:val="26"/>
          <w:szCs w:val="26"/>
        </w:rPr>
        <w:t>,</w:t>
      </w:r>
      <w:r w:rsidR="00281E29">
        <w:rPr>
          <w:rFonts w:ascii="Times New Roman" w:hAnsi="Times New Roman" w:cs="Times New Roman"/>
          <w:sz w:val="26"/>
          <w:szCs w:val="26"/>
        </w:rPr>
        <w:t>3</w:t>
      </w:r>
      <w:r w:rsidRPr="0009656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EF6919" w:rsidRPr="00096569">
        <w:rPr>
          <w:rFonts w:ascii="Times New Roman" w:hAnsi="Times New Roman" w:cs="Times New Roman"/>
          <w:sz w:val="26"/>
          <w:szCs w:val="26"/>
        </w:rPr>
        <w:t>.</w:t>
      </w:r>
    </w:p>
    <w:p w:rsidR="00051BE3" w:rsidRPr="00096569" w:rsidRDefault="00051BE3" w:rsidP="00051BE3">
      <w:pPr>
        <w:tabs>
          <w:tab w:val="left" w:pos="709"/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В 201</w:t>
      </w:r>
      <w:r w:rsidR="00AC3E3C" w:rsidRPr="00096569">
        <w:rPr>
          <w:rFonts w:ascii="Times New Roman" w:hAnsi="Times New Roman" w:cs="Times New Roman"/>
          <w:sz w:val="26"/>
          <w:szCs w:val="26"/>
        </w:rPr>
        <w:t>6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году на реализацию мероприятий программы было израсходовано </w:t>
      </w:r>
      <w:r w:rsidR="00A54A9A" w:rsidRPr="00096569">
        <w:rPr>
          <w:rFonts w:ascii="Times New Roman" w:hAnsi="Times New Roman" w:cs="Times New Roman"/>
          <w:sz w:val="26"/>
          <w:szCs w:val="26"/>
        </w:rPr>
        <w:t xml:space="preserve">     </w:t>
      </w:r>
      <w:r w:rsidR="00281E29">
        <w:rPr>
          <w:rFonts w:ascii="Times New Roman" w:hAnsi="Times New Roman" w:cs="Times New Roman"/>
          <w:sz w:val="26"/>
          <w:szCs w:val="26"/>
        </w:rPr>
        <w:t>1 872 737,4</w:t>
      </w:r>
      <w:r w:rsidR="00D61D9C"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Pr="00096569">
        <w:rPr>
          <w:rFonts w:ascii="Times New Roman" w:hAnsi="Times New Roman" w:cs="Times New Roman"/>
          <w:sz w:val="26"/>
          <w:szCs w:val="26"/>
        </w:rPr>
        <w:t>тыс. рублей.</w:t>
      </w:r>
    </w:p>
    <w:p w:rsidR="00D61D9C" w:rsidRPr="00096569" w:rsidRDefault="00D61D9C" w:rsidP="00D61D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На среднесрочную перспективу определены следующие задачи, решение которых призвано обеспечить развитие системы образования города Когалыма:</w:t>
      </w:r>
    </w:p>
    <w:p w:rsidR="00D61D9C" w:rsidRPr="00096569" w:rsidRDefault="00D61D9C" w:rsidP="00D61D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- Модернизация дошкольного, общего и дополнительного образования.</w:t>
      </w:r>
    </w:p>
    <w:p w:rsidR="00D61D9C" w:rsidRPr="00096569" w:rsidRDefault="00D61D9C" w:rsidP="00D61D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- Реализация комплекса мер адресной поддержки педагогических работников и одаренных детей.</w:t>
      </w:r>
    </w:p>
    <w:p w:rsidR="00D61D9C" w:rsidRPr="00096569" w:rsidRDefault="00D61D9C" w:rsidP="00D61D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-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</w:r>
    </w:p>
    <w:p w:rsidR="00D61D9C" w:rsidRPr="00096569" w:rsidRDefault="00D61D9C" w:rsidP="00D61D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- Совершенствование системы повышения квалификации педагогов и руководителей образовательных организаций.</w:t>
      </w:r>
    </w:p>
    <w:p w:rsidR="00D61D9C" w:rsidRPr="00096569" w:rsidRDefault="00D61D9C" w:rsidP="00D61D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 xml:space="preserve">- Обеспечение деятельности и управление в области образования на территории города Когалыма. </w:t>
      </w:r>
    </w:p>
    <w:p w:rsidR="00D61D9C" w:rsidRPr="00096569" w:rsidRDefault="00D61D9C" w:rsidP="00D61D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 xml:space="preserve">- Обеспечение комплексной безопасности и комфортных условий образовательного процесса и создание условий для сохранения и укрепления здоровья. </w:t>
      </w:r>
    </w:p>
    <w:p w:rsidR="00D61D9C" w:rsidRPr="00096569" w:rsidRDefault="00D61D9C" w:rsidP="00D61D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- Укрепление материально-технической базы и развитие инфраструктуры сферы образования, обеспечивающих равную доступность услуг дошкольного, общего и дополнительного образования детей.</w:t>
      </w:r>
    </w:p>
    <w:p w:rsidR="00D61D9C" w:rsidRPr="00096569" w:rsidRDefault="00D61D9C" w:rsidP="00D61D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- Создание условий для развития духовно-нравственных гражданско-, военно-патриотических качеств молодёжи, содействие социализации, росту созидательной активности и потенциала молодежи.</w:t>
      </w:r>
    </w:p>
    <w:p w:rsidR="00D61D9C" w:rsidRPr="00096569" w:rsidRDefault="00D61D9C" w:rsidP="00D61D9C">
      <w:pPr>
        <w:jc w:val="both"/>
      </w:pPr>
    </w:p>
    <w:p w:rsidR="00051BE3" w:rsidRPr="00096569" w:rsidRDefault="00051BE3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8" w:name="_Toc498075904"/>
      <w:r w:rsidRPr="00096569">
        <w:rPr>
          <w:rFonts w:ascii="Times New Roman" w:hAnsi="Times New Roman" w:cs="Times New Roman"/>
          <w:color w:val="auto"/>
          <w:sz w:val="26"/>
          <w:szCs w:val="26"/>
        </w:rPr>
        <w:t>Здравоохранение</w:t>
      </w:r>
      <w:bookmarkEnd w:id="18"/>
    </w:p>
    <w:p w:rsidR="00051BE3" w:rsidRPr="00096569" w:rsidRDefault="00051BE3" w:rsidP="005B3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51BE3" w:rsidRPr="00096569" w:rsidRDefault="00051BE3" w:rsidP="005B3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В сфере здравоохранения основной целью на предстоящий период является улучшение состояния здоровья населения на основе повышения доступности и качества медицинской помощи путем предоставления необходимого объема медицинских услуг.</w:t>
      </w:r>
    </w:p>
    <w:p w:rsidR="003C205A" w:rsidRPr="00096569" w:rsidRDefault="00051BE3" w:rsidP="005B3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Основным учреждением здравоохранения в городе является бюджетное учреждение Ханты-Мансийского автономного округа – Югры «Когалымская городская больница», коечный фонд которого в</w:t>
      </w:r>
      <w:r w:rsidR="003C205A" w:rsidRPr="00096569">
        <w:rPr>
          <w:rFonts w:ascii="Times New Roman" w:hAnsi="Times New Roman" w:cs="Times New Roman"/>
          <w:sz w:val="26"/>
          <w:szCs w:val="26"/>
        </w:rPr>
        <w:t xml:space="preserve"> 201</w:t>
      </w:r>
      <w:r w:rsidR="00863CDE" w:rsidRPr="00096569">
        <w:rPr>
          <w:rFonts w:ascii="Times New Roman" w:hAnsi="Times New Roman" w:cs="Times New Roman"/>
          <w:sz w:val="26"/>
          <w:szCs w:val="26"/>
        </w:rPr>
        <w:t>6</w:t>
      </w:r>
      <w:r w:rsidR="003C205A" w:rsidRPr="00096569">
        <w:rPr>
          <w:rFonts w:ascii="Times New Roman" w:hAnsi="Times New Roman" w:cs="Times New Roman"/>
          <w:sz w:val="26"/>
          <w:szCs w:val="26"/>
        </w:rPr>
        <w:t xml:space="preserve"> году составляет </w:t>
      </w:r>
      <w:r w:rsidR="00863CDE" w:rsidRPr="00096569">
        <w:rPr>
          <w:rFonts w:ascii="Times New Roman" w:hAnsi="Times New Roman" w:cs="Times New Roman"/>
          <w:sz w:val="26"/>
          <w:szCs w:val="26"/>
        </w:rPr>
        <w:t>321</w:t>
      </w:r>
      <w:r w:rsidR="003C205A"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="002C56B9" w:rsidRPr="00096569">
        <w:rPr>
          <w:rFonts w:ascii="Times New Roman" w:hAnsi="Times New Roman" w:cs="Times New Roman"/>
          <w:sz w:val="26"/>
          <w:szCs w:val="26"/>
        </w:rPr>
        <w:t>единиц</w:t>
      </w:r>
      <w:r w:rsidR="00863CDE" w:rsidRPr="00096569">
        <w:rPr>
          <w:rFonts w:ascii="Times New Roman" w:hAnsi="Times New Roman" w:cs="Times New Roman"/>
          <w:sz w:val="26"/>
          <w:szCs w:val="26"/>
        </w:rPr>
        <w:t xml:space="preserve"> (2015 год – 315 ед.)</w:t>
      </w:r>
      <w:r w:rsidR="003C205A" w:rsidRPr="00096569">
        <w:rPr>
          <w:rFonts w:ascii="Times New Roman" w:hAnsi="Times New Roman" w:cs="Times New Roman"/>
          <w:sz w:val="26"/>
          <w:szCs w:val="26"/>
        </w:rPr>
        <w:t>.</w:t>
      </w:r>
    </w:p>
    <w:p w:rsidR="00051BE3" w:rsidRPr="00096569" w:rsidRDefault="00051BE3" w:rsidP="005B3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lastRenderedPageBreak/>
        <w:t>Пропускная способность амбулаторно-поликлинических подразделений больницы в 201</w:t>
      </w:r>
      <w:r w:rsidR="002C56B9" w:rsidRPr="00096569">
        <w:rPr>
          <w:rFonts w:ascii="Times New Roman" w:hAnsi="Times New Roman" w:cs="Times New Roman"/>
          <w:sz w:val="26"/>
          <w:szCs w:val="26"/>
        </w:rPr>
        <w:t>6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году составляет </w:t>
      </w:r>
      <w:r w:rsidR="00863CDE" w:rsidRPr="00096569">
        <w:rPr>
          <w:rFonts w:ascii="Times New Roman" w:hAnsi="Times New Roman" w:cs="Times New Roman"/>
          <w:sz w:val="26"/>
          <w:szCs w:val="26"/>
        </w:rPr>
        <w:t>1 605</w:t>
      </w:r>
      <w:r w:rsidRPr="00096569">
        <w:rPr>
          <w:rFonts w:ascii="Times New Roman" w:hAnsi="Times New Roman" w:cs="Times New Roman"/>
          <w:sz w:val="26"/>
          <w:szCs w:val="26"/>
        </w:rPr>
        <w:t xml:space="preserve"> посещений в смену.</w:t>
      </w:r>
    </w:p>
    <w:p w:rsidR="00051BE3" w:rsidRPr="00096569" w:rsidRDefault="00051BE3" w:rsidP="005B3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51BE3" w:rsidRPr="00096569" w:rsidRDefault="00051BE3" w:rsidP="005B3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4F5CC2C" wp14:editId="24A69DEF">
            <wp:extent cx="6467475" cy="3248025"/>
            <wp:effectExtent l="0" t="0" r="0" b="0"/>
            <wp:docPr id="10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43FED" w:rsidRPr="00096569" w:rsidRDefault="00B43FED" w:rsidP="005B3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Обеспеченность больничными койками в 201</w:t>
      </w:r>
      <w:r w:rsidR="00863CDE" w:rsidRPr="00096569">
        <w:rPr>
          <w:rFonts w:ascii="Times New Roman" w:hAnsi="Times New Roman" w:cs="Times New Roman"/>
          <w:sz w:val="26"/>
          <w:szCs w:val="26"/>
        </w:rPr>
        <w:t>7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году составит </w:t>
      </w:r>
      <w:r w:rsidR="00863CDE" w:rsidRPr="00096569">
        <w:rPr>
          <w:rFonts w:ascii="Times New Roman" w:hAnsi="Times New Roman" w:cs="Times New Roman"/>
          <w:sz w:val="26"/>
          <w:szCs w:val="26"/>
        </w:rPr>
        <w:t>48,6</w:t>
      </w:r>
      <w:r w:rsidRPr="00096569">
        <w:rPr>
          <w:rFonts w:ascii="Times New Roman" w:hAnsi="Times New Roman" w:cs="Times New Roman"/>
          <w:sz w:val="26"/>
          <w:szCs w:val="26"/>
        </w:rPr>
        <w:t xml:space="preserve"> коек на 10 тыс. населения, или </w:t>
      </w:r>
      <w:r w:rsidR="005E393D" w:rsidRPr="00096569">
        <w:rPr>
          <w:rFonts w:ascii="Times New Roman" w:hAnsi="Times New Roman" w:cs="Times New Roman"/>
          <w:sz w:val="26"/>
          <w:szCs w:val="26"/>
        </w:rPr>
        <w:t>36</w:t>
      </w:r>
      <w:r w:rsidRPr="00096569">
        <w:rPr>
          <w:rFonts w:ascii="Times New Roman" w:hAnsi="Times New Roman" w:cs="Times New Roman"/>
          <w:sz w:val="26"/>
          <w:szCs w:val="26"/>
        </w:rPr>
        <w:t xml:space="preserve">% к нормативу, амбулаторно-поликлиническими учреждениями – </w:t>
      </w:r>
      <w:r w:rsidR="00863CDE" w:rsidRPr="00096569">
        <w:rPr>
          <w:rFonts w:ascii="Times New Roman" w:hAnsi="Times New Roman" w:cs="Times New Roman"/>
          <w:sz w:val="26"/>
          <w:szCs w:val="26"/>
        </w:rPr>
        <w:t>243,2</w:t>
      </w:r>
      <w:r w:rsidRPr="00096569">
        <w:rPr>
          <w:rFonts w:ascii="Times New Roman" w:hAnsi="Times New Roman" w:cs="Times New Roman"/>
          <w:sz w:val="26"/>
          <w:szCs w:val="26"/>
        </w:rPr>
        <w:t xml:space="preserve"> посещений в смену на 10 тыс. населения, или </w:t>
      </w:r>
      <w:r w:rsidR="005E393D" w:rsidRPr="00096569">
        <w:rPr>
          <w:rFonts w:ascii="Times New Roman" w:hAnsi="Times New Roman" w:cs="Times New Roman"/>
          <w:sz w:val="26"/>
          <w:szCs w:val="26"/>
        </w:rPr>
        <w:t>134</w:t>
      </w:r>
      <w:r w:rsidRPr="00096569">
        <w:rPr>
          <w:rFonts w:ascii="Times New Roman" w:hAnsi="Times New Roman" w:cs="Times New Roman"/>
          <w:sz w:val="26"/>
          <w:szCs w:val="26"/>
        </w:rPr>
        <w:t>% к нормативу.</w:t>
      </w:r>
    </w:p>
    <w:p w:rsidR="00B43FED" w:rsidRPr="00096569" w:rsidRDefault="00B43FED" w:rsidP="005B3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В среднесрочной перспективе, в связи с увеличением численности населения города, обеспеченность больничными койками и амбулаторно-поликлиническими учреждениями к нормативу продолжит снижаться и в 20</w:t>
      </w:r>
      <w:r w:rsidR="00863CDE" w:rsidRPr="00096569">
        <w:rPr>
          <w:rFonts w:ascii="Times New Roman" w:hAnsi="Times New Roman" w:cs="Times New Roman"/>
          <w:sz w:val="26"/>
          <w:szCs w:val="26"/>
        </w:rPr>
        <w:t>20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году по прогнозу составит </w:t>
      </w:r>
      <w:r w:rsidR="005E393D" w:rsidRPr="00096569">
        <w:rPr>
          <w:rFonts w:ascii="Times New Roman" w:hAnsi="Times New Roman" w:cs="Times New Roman"/>
          <w:sz w:val="26"/>
          <w:szCs w:val="26"/>
        </w:rPr>
        <w:t>34,3</w:t>
      </w:r>
      <w:r w:rsidRPr="00096569">
        <w:rPr>
          <w:rFonts w:ascii="Times New Roman" w:hAnsi="Times New Roman" w:cs="Times New Roman"/>
          <w:sz w:val="26"/>
          <w:szCs w:val="26"/>
        </w:rPr>
        <w:t xml:space="preserve">% и </w:t>
      </w:r>
      <w:r w:rsidR="005E393D" w:rsidRPr="00096569">
        <w:rPr>
          <w:rFonts w:ascii="Times New Roman" w:hAnsi="Times New Roman" w:cs="Times New Roman"/>
          <w:sz w:val="26"/>
          <w:szCs w:val="26"/>
        </w:rPr>
        <w:t>137,4</w:t>
      </w:r>
      <w:r w:rsidRPr="00096569">
        <w:rPr>
          <w:rFonts w:ascii="Times New Roman" w:hAnsi="Times New Roman" w:cs="Times New Roman"/>
          <w:sz w:val="26"/>
          <w:szCs w:val="26"/>
        </w:rPr>
        <w:t>% соответственно.</w:t>
      </w:r>
    </w:p>
    <w:p w:rsidR="00B43FED" w:rsidRPr="00096569" w:rsidRDefault="00B43FED" w:rsidP="005B3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Общая</w:t>
      </w:r>
      <w:r w:rsidR="00863CDE" w:rsidRPr="00096569">
        <w:rPr>
          <w:rFonts w:ascii="Times New Roman" w:hAnsi="Times New Roman" w:cs="Times New Roman"/>
          <w:sz w:val="26"/>
          <w:szCs w:val="26"/>
        </w:rPr>
        <w:t xml:space="preserve"> численность врачей в учреждении</w:t>
      </w:r>
      <w:r w:rsidRPr="00096569">
        <w:rPr>
          <w:rFonts w:ascii="Times New Roman" w:hAnsi="Times New Roman" w:cs="Times New Roman"/>
          <w:sz w:val="26"/>
          <w:szCs w:val="26"/>
        </w:rPr>
        <w:t xml:space="preserve"> здравоохранения города Когалыма в 201</w:t>
      </w:r>
      <w:r w:rsidR="00863CDE" w:rsidRPr="00096569">
        <w:rPr>
          <w:rFonts w:ascii="Times New Roman" w:hAnsi="Times New Roman" w:cs="Times New Roman"/>
          <w:sz w:val="26"/>
          <w:szCs w:val="26"/>
        </w:rPr>
        <w:t>7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году составит </w:t>
      </w:r>
      <w:r w:rsidR="00863CDE" w:rsidRPr="00096569">
        <w:rPr>
          <w:rFonts w:ascii="Times New Roman" w:hAnsi="Times New Roman" w:cs="Times New Roman"/>
          <w:sz w:val="26"/>
          <w:szCs w:val="26"/>
        </w:rPr>
        <w:t>233</w:t>
      </w:r>
      <w:r w:rsidR="009C4654"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Pr="00096569">
        <w:rPr>
          <w:rFonts w:ascii="Times New Roman" w:hAnsi="Times New Roman" w:cs="Times New Roman"/>
          <w:sz w:val="26"/>
          <w:szCs w:val="26"/>
        </w:rPr>
        <w:t>человек</w:t>
      </w:r>
      <w:r w:rsidR="00863CDE" w:rsidRPr="00096569">
        <w:rPr>
          <w:rFonts w:ascii="Times New Roman" w:hAnsi="Times New Roman" w:cs="Times New Roman"/>
          <w:sz w:val="26"/>
          <w:szCs w:val="26"/>
        </w:rPr>
        <w:t>а</w:t>
      </w:r>
      <w:r w:rsidRPr="00096569">
        <w:rPr>
          <w:rFonts w:ascii="Times New Roman" w:hAnsi="Times New Roman" w:cs="Times New Roman"/>
          <w:sz w:val="26"/>
          <w:szCs w:val="26"/>
        </w:rPr>
        <w:t xml:space="preserve">, среднего медицинского персонала – </w:t>
      </w:r>
      <w:r w:rsidR="00863CDE" w:rsidRPr="00096569">
        <w:rPr>
          <w:rFonts w:ascii="Times New Roman" w:hAnsi="Times New Roman" w:cs="Times New Roman"/>
          <w:sz w:val="26"/>
          <w:szCs w:val="26"/>
        </w:rPr>
        <w:t>672</w:t>
      </w:r>
      <w:r w:rsidRPr="0009656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63CDE" w:rsidRPr="00096569">
        <w:rPr>
          <w:rFonts w:ascii="Times New Roman" w:hAnsi="Times New Roman" w:cs="Times New Roman"/>
          <w:sz w:val="26"/>
          <w:szCs w:val="26"/>
        </w:rPr>
        <w:t>а</w:t>
      </w:r>
      <w:r w:rsidRPr="0009656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90F27" w:rsidRPr="00096569" w:rsidRDefault="00990F27" w:rsidP="005B31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1BE3" w:rsidRPr="00096569" w:rsidRDefault="00051BE3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9" w:name="_Toc498075905"/>
      <w:r w:rsidRPr="00096569">
        <w:rPr>
          <w:rFonts w:ascii="Times New Roman" w:hAnsi="Times New Roman" w:cs="Times New Roman"/>
          <w:color w:val="auto"/>
          <w:sz w:val="26"/>
          <w:szCs w:val="26"/>
        </w:rPr>
        <w:t>Культура</w:t>
      </w:r>
      <w:bookmarkEnd w:id="19"/>
    </w:p>
    <w:p w:rsidR="00051BE3" w:rsidRPr="00096569" w:rsidRDefault="00051BE3" w:rsidP="005B31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1BE3" w:rsidRPr="00096569" w:rsidRDefault="00051BE3" w:rsidP="005B3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Деятельность учреждений культуры в прогнозном периоде будет ориентирована на сохранение и развитие культурного потенциала и культурного наследия города Когалыма, формирование культурного пространства и создание условий для обеспечения равного доступа к культурным ценностям и информационным ресурсам жителей города, гармонизацию культурной жизни города Когалыма и интеграцию в общероссийский культурный процесс.</w:t>
      </w:r>
    </w:p>
    <w:p w:rsidR="00405A80" w:rsidRPr="00096569" w:rsidRDefault="00405A80" w:rsidP="005B3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Уровень обеспеченности населения города Когалыма библиотеками на 10 тыс. населения в 201</w:t>
      </w:r>
      <w:r w:rsidR="00645390" w:rsidRPr="00096569">
        <w:rPr>
          <w:rFonts w:ascii="Times New Roman" w:hAnsi="Times New Roman" w:cs="Times New Roman"/>
          <w:sz w:val="26"/>
          <w:szCs w:val="26"/>
        </w:rPr>
        <w:t>6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году составлял </w:t>
      </w:r>
      <w:r w:rsidR="00645390" w:rsidRPr="00096569">
        <w:rPr>
          <w:rFonts w:ascii="Times New Roman" w:hAnsi="Times New Roman" w:cs="Times New Roman"/>
          <w:sz w:val="26"/>
          <w:szCs w:val="26"/>
        </w:rPr>
        <w:t>50</w:t>
      </w:r>
      <w:r w:rsidRPr="00096569">
        <w:rPr>
          <w:rFonts w:ascii="Times New Roman" w:hAnsi="Times New Roman" w:cs="Times New Roman"/>
          <w:sz w:val="26"/>
          <w:szCs w:val="26"/>
        </w:rPr>
        <w:t>% к нормативу, культурно – досуговыми учреждениями на 1 тыс. населения – 7</w:t>
      </w:r>
      <w:r w:rsidR="00074595" w:rsidRPr="00096569">
        <w:rPr>
          <w:rFonts w:ascii="Times New Roman" w:hAnsi="Times New Roman" w:cs="Times New Roman"/>
          <w:sz w:val="26"/>
          <w:szCs w:val="26"/>
        </w:rPr>
        <w:t>3</w:t>
      </w:r>
      <w:r w:rsidRPr="00096569">
        <w:rPr>
          <w:rFonts w:ascii="Times New Roman" w:hAnsi="Times New Roman" w:cs="Times New Roman"/>
          <w:sz w:val="26"/>
          <w:szCs w:val="26"/>
        </w:rPr>
        <w:t xml:space="preserve">% к нормативу, музеями – 50%. </w:t>
      </w:r>
    </w:p>
    <w:p w:rsidR="00405A80" w:rsidRPr="00096569" w:rsidRDefault="002D5C78" w:rsidP="00405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В</w:t>
      </w:r>
      <w:r w:rsidR="00405A80" w:rsidRPr="00096569">
        <w:rPr>
          <w:rFonts w:ascii="Times New Roman" w:hAnsi="Times New Roman" w:cs="Times New Roman"/>
          <w:sz w:val="26"/>
          <w:szCs w:val="26"/>
        </w:rPr>
        <w:t xml:space="preserve"> городе Когалыме осуществляет свою деятельность 1 учреждение культуры мощностью 1 370 мест. В прогнозном периоде количество учреждений культуры </w:t>
      </w:r>
      <w:r w:rsidR="00405A80" w:rsidRPr="00096569">
        <w:rPr>
          <w:rFonts w:ascii="Times New Roman" w:hAnsi="Times New Roman" w:cs="Times New Roman"/>
          <w:sz w:val="26"/>
          <w:szCs w:val="26"/>
        </w:rPr>
        <w:lastRenderedPageBreak/>
        <w:t>останется на уровне 201</w:t>
      </w:r>
      <w:r w:rsidRPr="00096569">
        <w:rPr>
          <w:rFonts w:ascii="Times New Roman" w:hAnsi="Times New Roman" w:cs="Times New Roman"/>
          <w:sz w:val="26"/>
          <w:szCs w:val="26"/>
        </w:rPr>
        <w:t>6</w:t>
      </w:r>
      <w:r w:rsidR="00405A80" w:rsidRPr="00096569">
        <w:rPr>
          <w:rFonts w:ascii="Times New Roman" w:hAnsi="Times New Roman" w:cs="Times New Roman"/>
          <w:sz w:val="26"/>
          <w:szCs w:val="26"/>
        </w:rPr>
        <w:t xml:space="preserve"> года.</w:t>
      </w:r>
      <w:r w:rsidRPr="00096569">
        <w:rPr>
          <w:rFonts w:ascii="Times New Roman" w:hAnsi="Times New Roman" w:cs="Times New Roman"/>
          <w:sz w:val="26"/>
          <w:szCs w:val="26"/>
        </w:rPr>
        <w:t xml:space="preserve"> При этом в результата завершения реконструкций входящих в состав данного учреждения объектов (ДК «Сибирь» и КДК «Янтарь») пропускная способность снизиться и обеспеченность населениями учреждениями культуры к 2020 году составит 33%.</w:t>
      </w:r>
    </w:p>
    <w:p w:rsidR="00645390" w:rsidRPr="00096569" w:rsidRDefault="00645390" w:rsidP="00051B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 xml:space="preserve">С 06 августа 2015 года деятельность объекта культурно-досуговый комплекс </w:t>
      </w:r>
      <w:r w:rsidR="002D5C78" w:rsidRPr="00096569">
        <w:rPr>
          <w:rFonts w:ascii="Times New Roman" w:hAnsi="Times New Roman" w:cs="Times New Roman"/>
          <w:sz w:val="26"/>
          <w:szCs w:val="26"/>
        </w:rPr>
        <w:t>«Янтарь»</w:t>
      </w:r>
      <w:r w:rsidRPr="00096569">
        <w:rPr>
          <w:rFonts w:ascii="Times New Roman" w:hAnsi="Times New Roman" w:cs="Times New Roman"/>
          <w:sz w:val="26"/>
          <w:szCs w:val="26"/>
        </w:rPr>
        <w:t xml:space="preserve"> приостановлена (постановление Администрации города Когалыма от 25.09.2015 №2882) в связи с проведением реконструкции под филиал Государственного академического Малого театра России. В 2018 году, после ввода в эксплуатацию, объект будет передан из оперативного управления Администрации города Когалыма в федеральное ведомство.</w:t>
      </w:r>
    </w:p>
    <w:p w:rsidR="00051BE3" w:rsidRPr="00096569" w:rsidRDefault="00051BE3" w:rsidP="00051B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 xml:space="preserve">Библиотечная система города представлена муниципальным бюджетным учреждением «Централизованная библиотечная система», в состав которого входит Централизованная городская библиотека с двумя филиалами. </w:t>
      </w:r>
      <w:r w:rsidR="002D5C78" w:rsidRPr="00096569">
        <w:rPr>
          <w:rFonts w:ascii="Times New Roman" w:hAnsi="Times New Roman" w:cs="Times New Roman"/>
          <w:sz w:val="26"/>
          <w:szCs w:val="26"/>
        </w:rPr>
        <w:t>Число читателей составляет 17,4 тысяч человек (в период до 2020 года данный показатель останется на уровне 2017 года), библиотечный фонд – 147 тысяч единиц (2020 год – свыше 15</w:t>
      </w:r>
      <w:r w:rsidR="00B1641F" w:rsidRPr="00096569">
        <w:rPr>
          <w:rFonts w:ascii="Times New Roman" w:hAnsi="Times New Roman" w:cs="Times New Roman"/>
          <w:sz w:val="26"/>
          <w:szCs w:val="26"/>
        </w:rPr>
        <w:t>9</w:t>
      </w:r>
      <w:r w:rsidR="002D5C78" w:rsidRPr="00096569">
        <w:rPr>
          <w:rFonts w:ascii="Times New Roman" w:hAnsi="Times New Roman" w:cs="Times New Roman"/>
          <w:sz w:val="26"/>
          <w:szCs w:val="26"/>
        </w:rPr>
        <w:t xml:space="preserve"> тыс. единиц).</w:t>
      </w:r>
    </w:p>
    <w:p w:rsidR="00051BE3" w:rsidRPr="00096569" w:rsidRDefault="00051BE3" w:rsidP="00051B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В городе музейное дело осуществляет муниципальное бюджетное учреждение «Музейно – выставочный центр». Основным направлением деятельности музея является: выявление, хранение и демонстрация исторических и художественных ценностей, проведение выставок, вернисажей, фестивалей, конкурсов, экскурси</w:t>
      </w:r>
      <w:r w:rsidR="00457338" w:rsidRPr="00096569">
        <w:rPr>
          <w:rFonts w:ascii="Times New Roman" w:hAnsi="Times New Roman" w:cs="Times New Roman"/>
          <w:sz w:val="26"/>
          <w:szCs w:val="26"/>
        </w:rPr>
        <w:t>й. Учреждение в городе Когалыме</w:t>
      </w:r>
      <w:r w:rsidRPr="00096569">
        <w:rPr>
          <w:rFonts w:ascii="Times New Roman" w:hAnsi="Times New Roman" w:cs="Times New Roman"/>
          <w:sz w:val="26"/>
          <w:szCs w:val="26"/>
        </w:rPr>
        <w:t xml:space="preserve"> привлекает большое количество посетителей уникальностью стационарной экспозиции, в рамках котор</w:t>
      </w:r>
      <w:r w:rsidR="00457338" w:rsidRPr="00096569">
        <w:rPr>
          <w:rFonts w:ascii="Times New Roman" w:hAnsi="Times New Roman" w:cs="Times New Roman"/>
          <w:sz w:val="26"/>
          <w:szCs w:val="26"/>
        </w:rPr>
        <w:t>ой предоставлены история города:</w:t>
      </w:r>
      <w:r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="00457338" w:rsidRPr="00096569">
        <w:rPr>
          <w:rFonts w:ascii="Times New Roman" w:hAnsi="Times New Roman" w:cs="Times New Roman"/>
          <w:sz w:val="26"/>
          <w:szCs w:val="26"/>
        </w:rPr>
        <w:t>с</w:t>
      </w:r>
      <w:r w:rsidRPr="00096569">
        <w:rPr>
          <w:rFonts w:ascii="Times New Roman" w:hAnsi="Times New Roman" w:cs="Times New Roman"/>
          <w:sz w:val="26"/>
          <w:szCs w:val="26"/>
        </w:rPr>
        <w:t xml:space="preserve">тановление нефтяной промышленности в регионе и достижения </w:t>
      </w:r>
      <w:r w:rsidR="00AD6BA3" w:rsidRPr="00096569">
        <w:rPr>
          <w:rFonts w:ascii="Times New Roman" w:hAnsi="Times New Roman" w:cs="Times New Roman"/>
          <w:sz w:val="26"/>
          <w:szCs w:val="26"/>
        </w:rPr>
        <w:t>о</w:t>
      </w:r>
      <w:r w:rsidR="00457338" w:rsidRPr="00096569">
        <w:rPr>
          <w:rFonts w:ascii="Times New Roman" w:hAnsi="Times New Roman" w:cs="Times New Roman"/>
          <w:sz w:val="26"/>
          <w:szCs w:val="26"/>
        </w:rPr>
        <w:t>бщества с ограниченной ответственностью</w:t>
      </w:r>
      <w:r w:rsidRPr="00096569">
        <w:rPr>
          <w:rFonts w:ascii="Times New Roman" w:hAnsi="Times New Roman" w:cs="Times New Roman"/>
          <w:sz w:val="26"/>
          <w:szCs w:val="26"/>
        </w:rPr>
        <w:t xml:space="preserve"> «ЛУКОЙЛ – Западная Сибирь», природа и этнография Югры, быт, традиции коренного народа Севера, </w:t>
      </w:r>
      <w:r w:rsidR="00457338" w:rsidRPr="00096569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096569">
        <w:rPr>
          <w:rFonts w:ascii="Times New Roman" w:hAnsi="Times New Roman" w:cs="Times New Roman"/>
          <w:sz w:val="26"/>
          <w:szCs w:val="26"/>
        </w:rPr>
        <w:t>зал занимательной науки «Экспериментариум».</w:t>
      </w:r>
      <w:r w:rsidR="00D03E6B" w:rsidRPr="000965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1BE3" w:rsidRPr="00096569" w:rsidRDefault="00051BE3" w:rsidP="00E53956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705AD85" wp14:editId="1FDE9D09">
            <wp:extent cx="6534150" cy="2952750"/>
            <wp:effectExtent l="0" t="0" r="0" b="0"/>
            <wp:docPr id="16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51BE3" w:rsidRPr="00096569" w:rsidRDefault="00051BE3" w:rsidP="00051B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Будет продолжена работа по сохранению историко-культурного достояния. В результате исследовательской и поисковой деятельности, фонды музеев в 201</w:t>
      </w:r>
      <w:r w:rsidR="00B1641F" w:rsidRPr="00096569">
        <w:rPr>
          <w:rFonts w:ascii="Times New Roman" w:hAnsi="Times New Roman" w:cs="Times New Roman"/>
          <w:sz w:val="26"/>
          <w:szCs w:val="26"/>
        </w:rPr>
        <w:t>7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году планируется увеличить до 9,</w:t>
      </w:r>
      <w:r w:rsidR="00B1641F" w:rsidRPr="00096569">
        <w:rPr>
          <w:rFonts w:ascii="Times New Roman" w:hAnsi="Times New Roman" w:cs="Times New Roman"/>
          <w:sz w:val="26"/>
          <w:szCs w:val="26"/>
        </w:rPr>
        <w:t>5</w:t>
      </w:r>
      <w:r w:rsidR="00AD6BA3" w:rsidRPr="00096569">
        <w:rPr>
          <w:rFonts w:ascii="Times New Roman" w:hAnsi="Times New Roman" w:cs="Times New Roman"/>
          <w:sz w:val="26"/>
          <w:szCs w:val="26"/>
        </w:rPr>
        <w:t xml:space="preserve"> тыс. единиц хранения. К 20</w:t>
      </w:r>
      <w:r w:rsidR="00B1641F" w:rsidRPr="00096569">
        <w:rPr>
          <w:rFonts w:ascii="Times New Roman" w:hAnsi="Times New Roman" w:cs="Times New Roman"/>
          <w:sz w:val="26"/>
          <w:szCs w:val="26"/>
        </w:rPr>
        <w:t>20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году число единиц хранения планируется увеличить до 9,</w:t>
      </w:r>
      <w:r w:rsidR="00B1641F" w:rsidRPr="00096569">
        <w:rPr>
          <w:rFonts w:ascii="Times New Roman" w:hAnsi="Times New Roman" w:cs="Times New Roman"/>
          <w:sz w:val="26"/>
          <w:szCs w:val="26"/>
        </w:rPr>
        <w:t>8</w:t>
      </w:r>
      <w:r w:rsidRPr="00096569">
        <w:rPr>
          <w:rFonts w:ascii="Times New Roman" w:hAnsi="Times New Roman" w:cs="Times New Roman"/>
          <w:sz w:val="26"/>
          <w:szCs w:val="26"/>
        </w:rPr>
        <w:t xml:space="preserve"> тыс. единиц.</w:t>
      </w:r>
    </w:p>
    <w:p w:rsidR="00051BE3" w:rsidRPr="00096569" w:rsidRDefault="00051BE3" w:rsidP="00051B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lastRenderedPageBreak/>
        <w:t>Большое внимание в предстоящий период будет уделяться сохранению и развитию дополнительного образования детей художественно-эстетической направленности, приобщению ребенка к духовной культуре.</w:t>
      </w:r>
    </w:p>
    <w:p w:rsidR="00E53956" w:rsidRPr="00096569" w:rsidRDefault="00051BE3" w:rsidP="00E5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В целях сохранения и популяризации культурного наследия города Когалыма, повышения качества услуг, предоставляемых в области библиотечного, музейного и архивного дела в городе реализуется муниципальная программа «Развитие культуры в городе Когалыме» (далее – муниципальная программа).</w:t>
      </w:r>
    </w:p>
    <w:p w:rsidR="00E53956" w:rsidRPr="00096569" w:rsidRDefault="000C383A" w:rsidP="007E3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О</w:t>
      </w:r>
      <w:r w:rsidR="00051BE3" w:rsidRPr="00096569">
        <w:rPr>
          <w:rFonts w:ascii="Times New Roman" w:hAnsi="Times New Roman" w:cs="Times New Roman"/>
          <w:sz w:val="26"/>
          <w:szCs w:val="26"/>
        </w:rPr>
        <w:t xml:space="preserve">бъем финансирования муниципальной программы </w:t>
      </w:r>
      <w:r w:rsidRPr="00096569">
        <w:rPr>
          <w:rFonts w:ascii="Times New Roman" w:hAnsi="Times New Roman" w:cs="Times New Roman"/>
          <w:sz w:val="26"/>
          <w:szCs w:val="26"/>
        </w:rPr>
        <w:t>на 201</w:t>
      </w:r>
      <w:r w:rsidR="007E3166" w:rsidRPr="00096569">
        <w:rPr>
          <w:rFonts w:ascii="Times New Roman" w:hAnsi="Times New Roman" w:cs="Times New Roman"/>
          <w:sz w:val="26"/>
          <w:szCs w:val="26"/>
        </w:rPr>
        <w:t>7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</w:t>
      </w:r>
      <w:r w:rsidR="00AD6BA3"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="00051BE3" w:rsidRPr="00096569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281E29">
        <w:rPr>
          <w:rFonts w:ascii="Times New Roman" w:hAnsi="Times New Roman" w:cs="Times New Roman"/>
          <w:sz w:val="26"/>
          <w:szCs w:val="26"/>
        </w:rPr>
        <w:t>1 208 152,6</w:t>
      </w:r>
      <w:r w:rsidR="008E56AA" w:rsidRPr="0009656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7E3166" w:rsidRPr="00096569">
        <w:rPr>
          <w:rFonts w:ascii="Times New Roman" w:hAnsi="Times New Roman" w:cs="Times New Roman"/>
          <w:sz w:val="26"/>
          <w:szCs w:val="26"/>
        </w:rPr>
        <w:t xml:space="preserve"> (на период 201</w:t>
      </w:r>
      <w:r w:rsidR="00281E29">
        <w:rPr>
          <w:rFonts w:ascii="Times New Roman" w:hAnsi="Times New Roman" w:cs="Times New Roman"/>
          <w:sz w:val="26"/>
          <w:szCs w:val="26"/>
        </w:rPr>
        <w:t>6</w:t>
      </w:r>
      <w:r w:rsidR="007E3166" w:rsidRPr="00096569">
        <w:rPr>
          <w:rFonts w:ascii="Times New Roman" w:hAnsi="Times New Roman" w:cs="Times New Roman"/>
          <w:sz w:val="26"/>
          <w:szCs w:val="26"/>
        </w:rPr>
        <w:t>-2019 годы – 2</w:t>
      </w:r>
      <w:r w:rsidR="00281E29">
        <w:rPr>
          <w:rFonts w:ascii="Times New Roman" w:hAnsi="Times New Roman" w:cs="Times New Roman"/>
          <w:sz w:val="26"/>
          <w:szCs w:val="26"/>
        </w:rPr>
        <w:t> 457 358,1</w:t>
      </w:r>
      <w:r w:rsidR="007E3166" w:rsidRPr="00096569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8E56AA" w:rsidRPr="00096569">
        <w:rPr>
          <w:rFonts w:ascii="Times New Roman" w:hAnsi="Times New Roman" w:cs="Times New Roman"/>
          <w:sz w:val="26"/>
          <w:szCs w:val="26"/>
        </w:rPr>
        <w:t>.</w:t>
      </w:r>
    </w:p>
    <w:p w:rsidR="00051BE3" w:rsidRPr="00096569" w:rsidRDefault="00051BE3" w:rsidP="007E3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В 201</w:t>
      </w:r>
      <w:r w:rsidR="007E3166" w:rsidRPr="00096569">
        <w:rPr>
          <w:rFonts w:ascii="Times New Roman" w:hAnsi="Times New Roman" w:cs="Times New Roman"/>
          <w:sz w:val="26"/>
          <w:szCs w:val="26"/>
        </w:rPr>
        <w:t>6</w:t>
      </w:r>
      <w:r w:rsidRPr="00096569">
        <w:rPr>
          <w:rFonts w:ascii="Times New Roman" w:hAnsi="Times New Roman" w:cs="Times New Roman"/>
          <w:sz w:val="26"/>
          <w:szCs w:val="26"/>
        </w:rPr>
        <w:t xml:space="preserve"> году на реализацию мероприятий муниципальной программы было израсходовано </w:t>
      </w:r>
      <w:r w:rsidR="007E3166" w:rsidRPr="00096569">
        <w:rPr>
          <w:rFonts w:ascii="Times New Roman" w:hAnsi="Times New Roman" w:cs="Times New Roman"/>
          <w:sz w:val="26"/>
          <w:szCs w:val="26"/>
        </w:rPr>
        <w:t>695 614,9</w:t>
      </w:r>
      <w:r w:rsidRPr="00096569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7E3166" w:rsidRPr="00096569" w:rsidRDefault="007E3166" w:rsidP="007E3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Основными задачами на 2016 год и прогнозный период 2017-2019 годов является:</w:t>
      </w:r>
    </w:p>
    <w:p w:rsidR="007E3166" w:rsidRPr="00096569" w:rsidRDefault="007E3166" w:rsidP="007E3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- Сохранение культурного наследия и обеспечение доступа граждан к участию в культурной жизни;</w:t>
      </w:r>
    </w:p>
    <w:p w:rsidR="007E3166" w:rsidRPr="00096569" w:rsidRDefault="007E3166" w:rsidP="007E3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- Поддержка профессиональной и творческой деятельности в процессе создания и представления произведений всех видов и форм культуры и искусства в городе Когалыме;</w:t>
      </w:r>
    </w:p>
    <w:p w:rsidR="007E3166" w:rsidRPr="00096569" w:rsidRDefault="007E3166" w:rsidP="007E3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- Организационное, материально-техническое и информационное обеспечение реализации государственной культурной политики в городе Когалыме.</w:t>
      </w:r>
    </w:p>
    <w:p w:rsidR="007E3166" w:rsidRPr="00096569" w:rsidRDefault="007E3166" w:rsidP="007E3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1BE3" w:rsidRPr="00096569" w:rsidRDefault="00051BE3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0" w:name="_Toc498075906"/>
      <w:r w:rsidRPr="00096569">
        <w:rPr>
          <w:rFonts w:ascii="Times New Roman" w:hAnsi="Times New Roman" w:cs="Times New Roman"/>
          <w:color w:val="auto"/>
          <w:sz w:val="26"/>
          <w:szCs w:val="26"/>
        </w:rPr>
        <w:t>Физическая культура и спорт</w:t>
      </w:r>
      <w:bookmarkEnd w:id="20"/>
    </w:p>
    <w:p w:rsidR="00E53956" w:rsidRPr="00096569" w:rsidRDefault="00E53956" w:rsidP="00051B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6919" w:rsidRPr="00096569" w:rsidRDefault="00EF6919" w:rsidP="00B16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В области физической культуры и спорта будет уделяться большое внимание качественному улучшению физического состояния населения города и в первую очередь молодого поколения путем вовлечения детей и молодежи в регулярные физкультурно-спортивные занятия, развитию массовой физической культуры и спорта.</w:t>
      </w:r>
    </w:p>
    <w:p w:rsidR="00B1641F" w:rsidRPr="00096569" w:rsidRDefault="00B1641F" w:rsidP="00014DEC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В городе Когалыме функционирует 100 спортивных сооружений.</w:t>
      </w:r>
      <w:r w:rsidR="00014DEC"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Pr="00096569">
        <w:rPr>
          <w:rFonts w:ascii="Times New Roman" w:hAnsi="Times New Roman" w:cs="Times New Roman"/>
          <w:sz w:val="26"/>
          <w:szCs w:val="26"/>
        </w:rPr>
        <w:t xml:space="preserve">Обеспеченность объектами физической культуры и спорта составляет: спортивными залами – </w:t>
      </w:r>
      <w:r w:rsidR="00014DEC" w:rsidRPr="00096569">
        <w:rPr>
          <w:rFonts w:ascii="Times New Roman" w:hAnsi="Times New Roman" w:cs="Times New Roman"/>
          <w:sz w:val="26"/>
          <w:szCs w:val="26"/>
        </w:rPr>
        <w:t>83</w:t>
      </w:r>
      <w:r w:rsidRPr="00096569">
        <w:rPr>
          <w:rFonts w:ascii="Times New Roman" w:hAnsi="Times New Roman" w:cs="Times New Roman"/>
          <w:sz w:val="26"/>
          <w:szCs w:val="26"/>
        </w:rPr>
        <w:t xml:space="preserve">%, плоскостными сооружениями – </w:t>
      </w:r>
      <w:r w:rsidR="00014DEC" w:rsidRPr="00096569">
        <w:rPr>
          <w:rFonts w:ascii="Times New Roman" w:hAnsi="Times New Roman" w:cs="Times New Roman"/>
          <w:sz w:val="26"/>
          <w:szCs w:val="26"/>
        </w:rPr>
        <w:t>39</w:t>
      </w:r>
      <w:r w:rsidRPr="00096569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B1641F" w:rsidRPr="00096569" w:rsidRDefault="00B1641F" w:rsidP="00B16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Всего в городе Когалыме культивируется более 28 видов спорта. Наиболее популярные – плавание, спортивная гимнастика, лыжные гонки, волейбол, каратэ, мини-футбол, хоккей с шайбой. Удельный вес населения, систематически занимающегося физической культурой и спортом, составляет 34,3%.</w:t>
      </w:r>
    </w:p>
    <w:p w:rsidR="00051BE3" w:rsidRPr="00096569" w:rsidRDefault="00051BE3" w:rsidP="007E3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С целью формирования у населения города устойчивого интереса и потребности в регулярных занятиях физической культурой и спортом в городе проводятся спортивные и спортивно-массовые зрелищные мероприятия.</w:t>
      </w:r>
    </w:p>
    <w:p w:rsidR="00051BE3" w:rsidRPr="00096569" w:rsidRDefault="00051BE3" w:rsidP="00B5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 xml:space="preserve">В целях дальнейшего развития физической культуры и спорта </w:t>
      </w:r>
      <w:r w:rsidR="002B452B" w:rsidRPr="00096569">
        <w:rPr>
          <w:rFonts w:ascii="Times New Roman" w:hAnsi="Times New Roman" w:cs="Times New Roman"/>
          <w:sz w:val="26"/>
          <w:szCs w:val="26"/>
        </w:rPr>
        <w:t xml:space="preserve">будет продолжена реализация </w:t>
      </w:r>
      <w:r w:rsidRPr="00096569">
        <w:rPr>
          <w:rFonts w:ascii="Times New Roman" w:hAnsi="Times New Roman" w:cs="Times New Roman"/>
          <w:sz w:val="26"/>
          <w:szCs w:val="26"/>
        </w:rPr>
        <w:t>муниципальн</w:t>
      </w:r>
      <w:r w:rsidR="002B452B" w:rsidRPr="00096569">
        <w:rPr>
          <w:rFonts w:ascii="Times New Roman" w:hAnsi="Times New Roman" w:cs="Times New Roman"/>
          <w:sz w:val="26"/>
          <w:szCs w:val="26"/>
        </w:rPr>
        <w:t>ой</w:t>
      </w:r>
      <w:r w:rsidRPr="00096569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2B452B" w:rsidRPr="00096569">
        <w:rPr>
          <w:rFonts w:ascii="Times New Roman" w:hAnsi="Times New Roman" w:cs="Times New Roman"/>
          <w:sz w:val="26"/>
          <w:szCs w:val="26"/>
        </w:rPr>
        <w:t>ы</w:t>
      </w:r>
      <w:r w:rsidRPr="00096569">
        <w:rPr>
          <w:rFonts w:ascii="Times New Roman" w:hAnsi="Times New Roman" w:cs="Times New Roman"/>
          <w:sz w:val="26"/>
          <w:szCs w:val="26"/>
        </w:rPr>
        <w:t xml:space="preserve"> «Развитие физической культуры и спорта в городе Когалыме».</w:t>
      </w:r>
      <w:r w:rsidR="00EF6919"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="006261CA" w:rsidRPr="00096569">
        <w:rPr>
          <w:rFonts w:ascii="Times New Roman" w:hAnsi="Times New Roman" w:cs="Times New Roman"/>
          <w:sz w:val="26"/>
          <w:szCs w:val="26"/>
        </w:rPr>
        <w:t xml:space="preserve">Задачами программы является развитие массовой физической культуры и спорта, спортивной инфраструктуры, пропаганда здорового образа жизни, обеспечение успешного выступления спортсменов города Когалыма в окружных, всероссийских и международных спортивных </w:t>
      </w:r>
      <w:r w:rsidR="006261CA" w:rsidRPr="00096569">
        <w:rPr>
          <w:rFonts w:ascii="Times New Roman" w:hAnsi="Times New Roman" w:cs="Times New Roman"/>
          <w:sz w:val="26"/>
          <w:szCs w:val="26"/>
        </w:rPr>
        <w:lastRenderedPageBreak/>
        <w:t xml:space="preserve">соревнованиях, подготовка спортивного резерва, поддержка развития спорта высших достижений, в том числе спорта инвалидов и лиц с ограниченными возможностями здоровья. </w:t>
      </w:r>
      <w:r w:rsidR="00EF6919" w:rsidRPr="00096569">
        <w:rPr>
          <w:rFonts w:ascii="Times New Roman" w:hAnsi="Times New Roman" w:cs="Times New Roman"/>
          <w:sz w:val="26"/>
          <w:szCs w:val="26"/>
        </w:rPr>
        <w:t xml:space="preserve">Общий объем финансирования муниципальной программы </w:t>
      </w:r>
      <w:r w:rsidR="002B452B" w:rsidRPr="00096569">
        <w:rPr>
          <w:rFonts w:ascii="Times New Roman" w:hAnsi="Times New Roman" w:cs="Times New Roman"/>
          <w:sz w:val="26"/>
          <w:szCs w:val="26"/>
        </w:rPr>
        <w:t>на 201</w:t>
      </w:r>
      <w:r w:rsidR="00281E29">
        <w:rPr>
          <w:rFonts w:ascii="Times New Roman" w:hAnsi="Times New Roman" w:cs="Times New Roman"/>
          <w:sz w:val="26"/>
          <w:szCs w:val="26"/>
        </w:rPr>
        <w:t>6</w:t>
      </w:r>
      <w:r w:rsidR="002B452B" w:rsidRPr="00096569">
        <w:rPr>
          <w:rFonts w:ascii="Times New Roman" w:hAnsi="Times New Roman" w:cs="Times New Roman"/>
          <w:sz w:val="26"/>
          <w:szCs w:val="26"/>
        </w:rPr>
        <w:t>-20</w:t>
      </w:r>
      <w:r w:rsidR="00281E29">
        <w:rPr>
          <w:rFonts w:ascii="Times New Roman" w:hAnsi="Times New Roman" w:cs="Times New Roman"/>
          <w:sz w:val="26"/>
          <w:szCs w:val="26"/>
        </w:rPr>
        <w:t>19</w:t>
      </w:r>
      <w:r w:rsidR="002B452B" w:rsidRPr="00096569">
        <w:rPr>
          <w:rFonts w:ascii="Times New Roman" w:hAnsi="Times New Roman" w:cs="Times New Roman"/>
          <w:sz w:val="26"/>
          <w:szCs w:val="26"/>
        </w:rPr>
        <w:t xml:space="preserve"> годы </w:t>
      </w:r>
      <w:r w:rsidR="00EF6919" w:rsidRPr="00096569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281E29">
        <w:rPr>
          <w:rFonts w:ascii="Times New Roman" w:hAnsi="Times New Roman" w:cs="Times New Roman"/>
          <w:sz w:val="26"/>
          <w:szCs w:val="26"/>
        </w:rPr>
        <w:t>772 845,3</w:t>
      </w:r>
      <w:r w:rsidR="00EF6919" w:rsidRPr="00096569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="00B50235" w:rsidRPr="00096569">
        <w:rPr>
          <w:rFonts w:ascii="Times New Roman" w:hAnsi="Times New Roman" w:cs="Times New Roman"/>
          <w:sz w:val="26"/>
          <w:szCs w:val="26"/>
        </w:rPr>
        <w:t xml:space="preserve"> </w:t>
      </w:r>
      <w:r w:rsidRPr="00096569">
        <w:rPr>
          <w:rFonts w:ascii="Times New Roman" w:hAnsi="Times New Roman" w:cs="Times New Roman"/>
          <w:sz w:val="26"/>
          <w:szCs w:val="26"/>
        </w:rPr>
        <w:t>В 201</w:t>
      </w:r>
      <w:r w:rsidR="00B50235" w:rsidRPr="00096569">
        <w:rPr>
          <w:rFonts w:ascii="Times New Roman" w:hAnsi="Times New Roman" w:cs="Times New Roman"/>
          <w:sz w:val="26"/>
          <w:szCs w:val="26"/>
        </w:rPr>
        <w:t xml:space="preserve">6 </w:t>
      </w:r>
      <w:r w:rsidRPr="00096569">
        <w:rPr>
          <w:rFonts w:ascii="Times New Roman" w:hAnsi="Times New Roman" w:cs="Times New Roman"/>
          <w:sz w:val="26"/>
          <w:szCs w:val="26"/>
        </w:rPr>
        <w:t xml:space="preserve">году на реализацию мероприятий муниципальной программы было израсходовано </w:t>
      </w:r>
      <w:r w:rsidR="00B50235" w:rsidRPr="00096569">
        <w:rPr>
          <w:rFonts w:ascii="Times New Roman" w:hAnsi="Times New Roman" w:cs="Times New Roman"/>
          <w:sz w:val="26"/>
          <w:szCs w:val="26"/>
        </w:rPr>
        <w:t>197 017,2</w:t>
      </w:r>
      <w:r w:rsidRPr="00096569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051BE3" w:rsidRPr="00096569" w:rsidRDefault="00051BE3" w:rsidP="00B5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 xml:space="preserve">В целях агитации и пропаганды здорового образа жизни, популяризации видов спорта проводятся показательные выступления и соревнования на центральной площади в праздничные дни и юбилейные даты. </w:t>
      </w:r>
    </w:p>
    <w:p w:rsidR="00051BE3" w:rsidRPr="00096569" w:rsidRDefault="00051BE3" w:rsidP="00051BE3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Спортсмены города Когалыма принимают участие во Всероссийских, окружных и комплексных спортивных мероприятиях Ханты-Мансийского автономного округа – Югры. В этих мероприятиях задействованы спортсмены города по видам спорта всех возрастных и социальных групп населения.</w:t>
      </w:r>
    </w:p>
    <w:p w:rsidR="004A592C" w:rsidRPr="00467CBF" w:rsidRDefault="004A592C" w:rsidP="00051BE3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569">
        <w:rPr>
          <w:rFonts w:ascii="Times New Roman" w:hAnsi="Times New Roman" w:cs="Times New Roman"/>
          <w:sz w:val="26"/>
          <w:szCs w:val="26"/>
        </w:rPr>
        <w:t>Основной проблемой в сфере физической культуры и спорта остается недостаточная обеспеченность спортивными объектами</w:t>
      </w:r>
      <w:r w:rsidR="00DB6BDD" w:rsidRPr="00096569">
        <w:rPr>
          <w:rFonts w:ascii="Times New Roman" w:hAnsi="Times New Roman" w:cs="Times New Roman"/>
          <w:sz w:val="26"/>
          <w:szCs w:val="26"/>
        </w:rPr>
        <w:t>, однако в прогнозном периоде строительство данных объектов не планируется.</w:t>
      </w:r>
    </w:p>
    <w:p w:rsidR="00051BE3" w:rsidRDefault="00051BE3" w:rsidP="00051B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F1094" w:rsidRPr="00467CBF" w:rsidRDefault="00CF1094" w:rsidP="00051B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5A30" w:rsidRPr="00467CBF" w:rsidRDefault="00E34AC6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21" w:name="_Toc498075907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9</w:t>
      </w:r>
      <w:r w:rsidR="00105015" w:rsidRPr="00467CBF">
        <w:rPr>
          <w:rFonts w:ascii="Times New Roman" w:hAnsi="Times New Roman" w:cs="Times New Roman"/>
          <w:b/>
          <w:bCs/>
          <w:color w:val="auto"/>
          <w:sz w:val="26"/>
          <w:szCs w:val="26"/>
        </w:rPr>
        <w:t>. МАЛОЕ И СРЕДНЕЕ ПРЕДПРИНИМАТЕЛЬСТВО</w:t>
      </w:r>
      <w:bookmarkEnd w:id="21"/>
    </w:p>
    <w:p w:rsidR="00265D4D" w:rsidRPr="00467CBF" w:rsidRDefault="00265D4D" w:rsidP="002B7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21BF" w:rsidRPr="00467CB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Развитие малого и среднего бизнеса имеет огромное значение для экономики города. Это - занятость населения, социальная стабильность, формирование среднего класса, а также увеличение налоговых поступлений в городской бюджет.</w:t>
      </w:r>
    </w:p>
    <w:p w:rsidR="00B121BF" w:rsidRPr="00467CBF" w:rsidRDefault="00B121BF" w:rsidP="00B121BF">
      <w:pPr>
        <w:pStyle w:val="af1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В 201</w:t>
      </w:r>
      <w:r w:rsidR="00FC1830" w:rsidRPr="00467CB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году количество субъектов малого и среднего предпринимательства, включая микропредприяти</w:t>
      </w:r>
      <w:r w:rsidR="009613AE"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я, 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>составило 498 единиц.</w:t>
      </w:r>
      <w:r w:rsidR="00172FDD"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Источником информации являются данные Реестра субъектов малого и среднего предпринимательство и Управления федеральной службы государственной статистики по Тюменской области, Х</w:t>
      </w:r>
      <w:r w:rsidR="005144D9" w:rsidRPr="00467CBF">
        <w:rPr>
          <w:rFonts w:ascii="Times New Roman" w:hAnsi="Times New Roman" w:cs="Times New Roman"/>
          <w:sz w:val="26"/>
          <w:szCs w:val="26"/>
          <w:lang w:eastAsia="ru-RU"/>
        </w:rPr>
        <w:t>анты-</w:t>
      </w:r>
      <w:r w:rsidR="00172FDD" w:rsidRPr="00467CBF"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="005144D9"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ансийскому автономному округу - </w:t>
      </w:r>
      <w:r w:rsidR="00172FDD" w:rsidRPr="00467CBF">
        <w:rPr>
          <w:rFonts w:ascii="Times New Roman" w:hAnsi="Times New Roman" w:cs="Times New Roman"/>
          <w:sz w:val="26"/>
          <w:szCs w:val="26"/>
          <w:lang w:eastAsia="ru-RU"/>
        </w:rPr>
        <w:t>Югре и Я</w:t>
      </w:r>
      <w:r w:rsidR="005144D9" w:rsidRPr="00467CBF">
        <w:rPr>
          <w:rFonts w:ascii="Times New Roman" w:hAnsi="Times New Roman" w:cs="Times New Roman"/>
          <w:sz w:val="26"/>
          <w:szCs w:val="26"/>
          <w:lang w:eastAsia="ru-RU"/>
        </w:rPr>
        <w:t>мало-</w:t>
      </w:r>
      <w:r w:rsidR="00172FDD" w:rsidRPr="00467CBF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5144D9" w:rsidRPr="00467CBF">
        <w:rPr>
          <w:rFonts w:ascii="Times New Roman" w:hAnsi="Times New Roman" w:cs="Times New Roman"/>
          <w:sz w:val="26"/>
          <w:szCs w:val="26"/>
          <w:lang w:eastAsia="ru-RU"/>
        </w:rPr>
        <w:t>енецкому автономному округу</w:t>
      </w:r>
      <w:r w:rsidR="00172FDD" w:rsidRPr="00467CB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121BF" w:rsidRPr="00467CBF" w:rsidRDefault="00B121BF" w:rsidP="00B121BF">
      <w:pPr>
        <w:pStyle w:val="af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7CBF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3A3B3451" wp14:editId="0C52DD4C">
            <wp:extent cx="6045835" cy="3200400"/>
            <wp:effectExtent l="0" t="0" r="0" b="0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121BF" w:rsidRPr="00467CB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C21FE0"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2017 году количество субъектов малого и среднего предпринимательства по оценке составит 2 тыс. единиц (рост к 2016 году – 0,2%). В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прогнозном периоде, по базовому варианту, планируется сохранение </w:t>
      </w:r>
      <w:r w:rsidR="00C21FE0"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положительной динамики роста 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>количества малых и средних предприятий, включая микропредприятия, и в целом к 20</w:t>
      </w:r>
      <w:r w:rsidR="00C21FE0" w:rsidRPr="00467CBF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году количество субъектов </w:t>
      </w:r>
      <w:r w:rsidR="0049740C" w:rsidRPr="00467CBF">
        <w:rPr>
          <w:rFonts w:ascii="Times New Roman" w:hAnsi="Times New Roman" w:cs="Times New Roman"/>
          <w:sz w:val="26"/>
          <w:szCs w:val="26"/>
          <w:lang w:eastAsia="ru-RU"/>
        </w:rPr>
        <w:t>составит 20</w:t>
      </w:r>
      <w:r w:rsidR="00C21FE0" w:rsidRPr="00467CBF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49740C"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единиц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410ED" w:rsidRPr="00467CBF" w:rsidRDefault="00C410ED" w:rsidP="00C41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Структура малых и средних предприятий, включая микропредприятия, по видам экономической деятельности в течение ряда лет постепенно менялась, в 201</w:t>
      </w:r>
      <w:r w:rsidR="00C21FE0" w:rsidRPr="00467CB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году доля предприятий, осуществляющих деятельность в сфере торговли,  технического обслуживания автотранспортных средств составила 24,3%, значительно возросла доля предприятий, осуществляющих деятельность в сфере транспортировки и связи – 18,4%, третье место в структуре малых и средних предприятий занимают предприятия сферы строительства – 13,0%, на долю предприятий сферы управления имуществом приходится 6,6%, на предприятия в сфере промышленности – 6,8%. </w:t>
      </w:r>
    </w:p>
    <w:p w:rsidR="00B121BF" w:rsidRPr="00467CBF" w:rsidRDefault="00C410ED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6200663A" wp14:editId="445EB30F">
            <wp:extent cx="6219825" cy="31337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121BF" w:rsidRPr="00467CB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Среднесписочная численность работников малых и средних предприятий в 201</w:t>
      </w:r>
      <w:r w:rsidR="00172FDD" w:rsidRPr="00467CB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году составила 5,</w:t>
      </w:r>
      <w:r w:rsidR="00172FDD" w:rsidRPr="00467CBF">
        <w:rPr>
          <w:rFonts w:ascii="Times New Roman" w:hAnsi="Times New Roman" w:cs="Times New Roman"/>
          <w:sz w:val="26"/>
          <w:szCs w:val="26"/>
          <w:lang w:eastAsia="ru-RU"/>
        </w:rPr>
        <w:t>36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тыс. человек. </w:t>
      </w:r>
    </w:p>
    <w:p w:rsidR="00E1126E" w:rsidRPr="00467CB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В 201</w:t>
      </w:r>
      <w:r w:rsidR="00172FDD" w:rsidRPr="00467CBF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году численность работников малого и среднего предпринимательства по оценке составит 5,</w:t>
      </w:r>
      <w:r w:rsidR="00172FDD" w:rsidRPr="00467CBF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тыс. человек</w:t>
      </w:r>
      <w:r w:rsidR="00172FDD"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E1126E" w:rsidRPr="00467CBF">
        <w:rPr>
          <w:rFonts w:ascii="Times New Roman" w:hAnsi="Times New Roman" w:cs="Times New Roman"/>
          <w:sz w:val="26"/>
          <w:szCs w:val="26"/>
          <w:lang w:eastAsia="ru-RU"/>
        </w:rPr>
        <w:t>обусловлено снижением численности работающих на средних предприятиях)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E1126E" w:rsidRPr="00467CBF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4C00E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1126E" w:rsidRPr="00467CBF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>альнейш</w:t>
      </w:r>
      <w:r w:rsidR="004C00EE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м </w:t>
      </w:r>
      <w:r w:rsidR="00E1126E" w:rsidRPr="00467CBF">
        <w:rPr>
          <w:rFonts w:ascii="Times New Roman" w:hAnsi="Times New Roman" w:cs="Times New Roman"/>
          <w:sz w:val="26"/>
          <w:szCs w:val="26"/>
          <w:lang w:eastAsia="ru-RU"/>
        </w:rPr>
        <w:t>прогнозируется рост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по базовому варианту</w:t>
      </w:r>
      <w:r w:rsidR="00E1126E"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до 6,21 в 2020 году (за счет роста числа работающих на микро предприятиях)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B121BF" w:rsidRPr="00467CB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Структура занятых в данном сегменте организаций и пре</w:t>
      </w:r>
      <w:r w:rsidR="00026560" w:rsidRPr="00467CBF">
        <w:rPr>
          <w:rFonts w:ascii="Times New Roman" w:hAnsi="Times New Roman" w:cs="Times New Roman"/>
          <w:sz w:val="26"/>
          <w:szCs w:val="26"/>
          <w:lang w:eastAsia="ru-RU"/>
        </w:rPr>
        <w:t>дприятий города Когалыма</w:t>
      </w:r>
      <w:r w:rsidR="00E1126E"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по оценке</w:t>
      </w:r>
      <w:r w:rsidR="00026560"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сложит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ся следующим образом: в оптовой и розничной торговле будет сосредоточено – </w:t>
      </w:r>
      <w:r w:rsidR="00E1126E" w:rsidRPr="00467CBF">
        <w:rPr>
          <w:rFonts w:ascii="Times New Roman" w:hAnsi="Times New Roman" w:cs="Times New Roman"/>
          <w:sz w:val="26"/>
          <w:szCs w:val="26"/>
          <w:lang w:eastAsia="ru-RU"/>
        </w:rPr>
        <w:t>25,7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%, в промышленном производстве – </w:t>
      </w:r>
      <w:r w:rsidR="004433B7" w:rsidRPr="00467CBF">
        <w:rPr>
          <w:rFonts w:ascii="Times New Roman" w:hAnsi="Times New Roman" w:cs="Times New Roman"/>
          <w:sz w:val="26"/>
          <w:szCs w:val="26"/>
          <w:lang w:eastAsia="ru-RU"/>
        </w:rPr>
        <w:t>12,5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%, в сфере операций с недвижимым имуществом – </w:t>
      </w:r>
      <w:r w:rsidR="004433B7" w:rsidRPr="00467CBF">
        <w:rPr>
          <w:rFonts w:ascii="Times New Roman" w:hAnsi="Times New Roman" w:cs="Times New Roman"/>
          <w:sz w:val="26"/>
          <w:szCs w:val="26"/>
          <w:lang w:eastAsia="ru-RU"/>
        </w:rPr>
        <w:t>8,1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%, в строительстве – </w:t>
      </w:r>
      <w:r w:rsidR="004433B7" w:rsidRPr="00467CBF">
        <w:rPr>
          <w:rFonts w:ascii="Times New Roman" w:hAnsi="Times New Roman" w:cs="Times New Roman"/>
          <w:sz w:val="26"/>
          <w:szCs w:val="26"/>
          <w:lang w:eastAsia="ru-RU"/>
        </w:rPr>
        <w:t>7,2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%, в сфере транспорта и связи – </w:t>
      </w:r>
      <w:r w:rsidR="004433B7" w:rsidRPr="00467CBF">
        <w:rPr>
          <w:rFonts w:ascii="Times New Roman" w:hAnsi="Times New Roman" w:cs="Times New Roman"/>
          <w:sz w:val="26"/>
          <w:szCs w:val="26"/>
          <w:lang w:eastAsia="ru-RU"/>
        </w:rPr>
        <w:t>22,2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>%.</w:t>
      </w:r>
    </w:p>
    <w:p w:rsidR="00B121BF" w:rsidRPr="00467CBF" w:rsidRDefault="00B121BF" w:rsidP="00B12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00082730" wp14:editId="53D3FCA8">
            <wp:extent cx="6359525" cy="3313430"/>
            <wp:effectExtent l="0" t="0" r="3175" b="127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121BF" w:rsidRPr="00467CB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121BF" w:rsidRPr="00467CB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В 201</w:t>
      </w:r>
      <w:r w:rsidR="00E76951" w:rsidRPr="00467CB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году оборот малых и средних предприятий составил 16</w:t>
      </w:r>
      <w:r w:rsidR="007E1B41" w:rsidRPr="00467CBF">
        <w:rPr>
          <w:rFonts w:ascii="Times New Roman" w:hAnsi="Times New Roman" w:cs="Times New Roman"/>
          <w:sz w:val="26"/>
          <w:szCs w:val="26"/>
          <w:lang w:eastAsia="ru-RU"/>
        </w:rPr>
        <w:t> 9</w:t>
      </w:r>
      <w:r w:rsidR="002C56B9" w:rsidRPr="00467CB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7E1B41" w:rsidRPr="00467CBF">
        <w:rPr>
          <w:rFonts w:ascii="Times New Roman" w:hAnsi="Times New Roman" w:cs="Times New Roman"/>
          <w:sz w:val="26"/>
          <w:szCs w:val="26"/>
          <w:lang w:eastAsia="ru-RU"/>
        </w:rPr>
        <w:t>3,1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млн. рублей или </w:t>
      </w:r>
      <w:r w:rsidR="007E1B41" w:rsidRPr="00467CBF">
        <w:rPr>
          <w:rFonts w:ascii="Times New Roman" w:hAnsi="Times New Roman" w:cs="Times New Roman"/>
          <w:sz w:val="26"/>
          <w:szCs w:val="26"/>
          <w:lang w:eastAsia="ru-RU"/>
        </w:rPr>
        <w:t>101,7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% к 201</w:t>
      </w:r>
      <w:r w:rsidR="007E1B41" w:rsidRPr="00467CBF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году в действующих ценах:</w:t>
      </w:r>
    </w:p>
    <w:p w:rsidR="00B121BF" w:rsidRPr="00467CB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Наибольший удельный вес в общем объеме произведенной малыми и средними предприятиями продукции в 201</w:t>
      </w:r>
      <w:r w:rsidR="007E1B41" w:rsidRPr="00467CB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году приходился на предприятия, осуществляющие деятельность в сфере оптовой и розничной торговли – </w:t>
      </w:r>
      <w:r w:rsidR="007E1B41" w:rsidRPr="00467CBF">
        <w:rPr>
          <w:rFonts w:ascii="Times New Roman" w:hAnsi="Times New Roman" w:cs="Times New Roman"/>
          <w:sz w:val="26"/>
          <w:szCs w:val="26"/>
          <w:lang w:eastAsia="ru-RU"/>
        </w:rPr>
        <w:t>40,7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%, в строительной сфере – </w:t>
      </w:r>
      <w:r w:rsidR="007E1B41" w:rsidRPr="00467CBF">
        <w:rPr>
          <w:rFonts w:ascii="Times New Roman" w:hAnsi="Times New Roman" w:cs="Times New Roman"/>
          <w:sz w:val="26"/>
          <w:szCs w:val="26"/>
          <w:lang w:eastAsia="ru-RU"/>
        </w:rPr>
        <w:t>7,9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%, в сфере транспорта и связи – </w:t>
      </w:r>
      <w:r w:rsidR="007E1B41" w:rsidRPr="00467CBF">
        <w:rPr>
          <w:rFonts w:ascii="Times New Roman" w:hAnsi="Times New Roman" w:cs="Times New Roman"/>
          <w:sz w:val="26"/>
          <w:szCs w:val="26"/>
          <w:lang w:eastAsia="ru-RU"/>
        </w:rPr>
        <w:t>10,7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>%,</w:t>
      </w:r>
    </w:p>
    <w:p w:rsidR="00B121BF" w:rsidRPr="00467CB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Оборот малых и средних предприятий в 201</w:t>
      </w:r>
      <w:r w:rsidR="00BF478E" w:rsidRPr="00467CBF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году ожидается в объеме </w:t>
      </w:r>
      <w:r w:rsidR="00BF478E" w:rsidRPr="00467CBF">
        <w:rPr>
          <w:rFonts w:ascii="Times New Roman" w:hAnsi="Times New Roman" w:cs="Times New Roman"/>
          <w:sz w:val="26"/>
          <w:szCs w:val="26"/>
          <w:lang w:eastAsia="ru-RU"/>
        </w:rPr>
        <w:t>17 234,45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млн. рублей, увеличившись на 1</w:t>
      </w:r>
      <w:r w:rsidR="00BF478E" w:rsidRPr="00467CBF">
        <w:rPr>
          <w:rFonts w:ascii="Times New Roman" w:hAnsi="Times New Roman" w:cs="Times New Roman"/>
          <w:sz w:val="26"/>
          <w:szCs w:val="26"/>
          <w:lang w:eastAsia="ru-RU"/>
        </w:rPr>
        <w:t>,6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>% к уровню 201</w:t>
      </w:r>
      <w:r w:rsidR="00BF478E" w:rsidRPr="00467CB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года в действующих ценах. </w:t>
      </w:r>
    </w:p>
    <w:p w:rsidR="009209E7" w:rsidRPr="00467CBF" w:rsidRDefault="009209E7" w:rsidP="00920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создания благоприятных условий для развития малого и среднего предпринимательства, обеспечения занятости населения, насыщения рынка товарами и услугами в городе Когалыме продолжается реализация подпрограммы «Развитие малого и среднего предпринимательства в городе Когалыме» (далее – подпрограмма РМСП) в рамках муниципальной программы «Социально-экономическое развитие и инвестиции муниципального образования город Когалым», утвержденной постановлением Администрации города Когалыма от 11.10.2013 №2919. </w:t>
      </w:r>
    </w:p>
    <w:p w:rsidR="009209E7" w:rsidRPr="00467CBF" w:rsidRDefault="009209E7" w:rsidP="00920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Всего в 2017 году на развитие малого и среднего предпринимательства выделено 6 706,9</w:t>
      </w:r>
      <w:r w:rsidR="007B6B5C">
        <w:rPr>
          <w:rFonts w:ascii="Times New Roman" w:hAnsi="Times New Roman" w:cs="Times New Roman"/>
          <w:sz w:val="26"/>
          <w:szCs w:val="26"/>
          <w:lang w:eastAsia="ru-RU"/>
        </w:rPr>
        <w:t xml:space="preserve"> тыс. рублей (2016 год – 7 753,2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тыс. рублей), из них:</w:t>
      </w:r>
    </w:p>
    <w:p w:rsidR="009209E7" w:rsidRPr="00467CBF" w:rsidRDefault="009209E7" w:rsidP="00920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- 2 527,0 тыс. рублей – средства бюджета Ханты–Мансийского автономного округа - Югры;</w:t>
      </w:r>
    </w:p>
    <w:p w:rsidR="009209E7" w:rsidRPr="00467CBF" w:rsidRDefault="009209E7" w:rsidP="00920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- 4 179,9 тыс. руб. – средства бюджета города Когалыма.</w:t>
      </w:r>
    </w:p>
    <w:p w:rsidR="00B121BF" w:rsidRPr="00467CB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Создание благоприятных условий для поддержки и развития малого и среднего предпринимательства, а также оказание услуг субъектам малого и среднего предпринимательства, предоставление им консультационной, финансовой и иной материальной помощи в городе Когалыме осуществляют организации, 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образующие инфраструктуру поддержки субъектов малого и среднего предпринимательства. </w:t>
      </w:r>
    </w:p>
    <w:p w:rsidR="00B121BF" w:rsidRPr="00467CBF" w:rsidRDefault="00B121BF" w:rsidP="00920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Активно работает Координационный совет по развитию малого и среднего предпринимательства в городе Когалыме. </w:t>
      </w:r>
    </w:p>
    <w:p w:rsidR="00B121BF" w:rsidRPr="00467CB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В среднесрочной перспективе</w:t>
      </w:r>
      <w:r w:rsidR="009209E7" w:rsidRPr="00467CB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оборот малых и средних предприятий, включая микропредприятия, </w:t>
      </w:r>
      <w:r w:rsidR="009209E7"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в 2018 году ожидается на уровне 2017 года, в  дальнейшем рост составит от 0,2 % в 2019 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>году;</w:t>
      </w:r>
      <w:r w:rsidR="009209E7"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до 0,6%  в 2020 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>году по базовому варианту развития.  </w:t>
      </w:r>
    </w:p>
    <w:p w:rsidR="00B121BF" w:rsidRPr="00467CBF" w:rsidRDefault="00B121BF" w:rsidP="00B121BF">
      <w:pPr>
        <w:pStyle w:val="af1"/>
        <w:ind w:firstLine="5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В прогнозном периоде будет продолжена реализация мероприятий в сфере малого и среднего бизнеса, направленных на стимулирование предпринимательской деятельности, улучшение предпринимательского климата, сокращение административных ограничений.</w:t>
      </w:r>
    </w:p>
    <w:p w:rsidR="00B121BF" w:rsidRPr="00467CBF" w:rsidRDefault="00B121BF" w:rsidP="00B121BF">
      <w:pPr>
        <w:pStyle w:val="af1"/>
        <w:ind w:firstLine="5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В целом устойчивое развитие малого и среднего предпринимательства в прогнозируемом периоде, по-прежнему, будет обеспечивать экономическую и социальную стабильность в городе.</w:t>
      </w:r>
    </w:p>
    <w:p w:rsidR="006E41A9" w:rsidRDefault="006E41A9" w:rsidP="00105015">
      <w:pPr>
        <w:pStyle w:val="af1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F1094" w:rsidRPr="00467CBF" w:rsidRDefault="00CF1094" w:rsidP="00105015">
      <w:pPr>
        <w:pStyle w:val="af1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17093" w:rsidRPr="00467CBF" w:rsidRDefault="00B17093" w:rsidP="00B17093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22" w:name="_Toc498075908"/>
      <w:r w:rsidRPr="00467CBF">
        <w:rPr>
          <w:rFonts w:ascii="Times New Roman" w:hAnsi="Times New Roman" w:cs="Times New Roman"/>
          <w:b/>
          <w:bCs/>
          <w:color w:val="auto"/>
          <w:sz w:val="26"/>
          <w:szCs w:val="26"/>
        </w:rPr>
        <w:t>1</w:t>
      </w:r>
      <w:r w:rsidR="00E34AC6">
        <w:rPr>
          <w:rFonts w:ascii="Times New Roman" w:hAnsi="Times New Roman" w:cs="Times New Roman"/>
          <w:b/>
          <w:bCs/>
          <w:color w:val="auto"/>
          <w:sz w:val="26"/>
          <w:szCs w:val="26"/>
        </w:rPr>
        <w:t>0</w:t>
      </w:r>
      <w:r w:rsidRPr="00467C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. </w:t>
      </w:r>
      <w:r w:rsidR="00CF1094">
        <w:rPr>
          <w:rFonts w:ascii="Times New Roman" w:hAnsi="Times New Roman" w:cs="Times New Roman"/>
          <w:b/>
          <w:bCs/>
          <w:color w:val="auto"/>
          <w:sz w:val="26"/>
          <w:szCs w:val="26"/>
        </w:rPr>
        <w:t>БЮДЖЕТ ГОРОДА КОГАЛЫМА</w:t>
      </w:r>
      <w:bookmarkEnd w:id="22"/>
    </w:p>
    <w:p w:rsidR="002A2588" w:rsidRPr="00467CBF" w:rsidRDefault="002A2588" w:rsidP="002A2588"/>
    <w:p w:rsidR="008E3328" w:rsidRPr="00467CBF" w:rsidRDefault="008E3328" w:rsidP="0067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Одной из составляющих бюджетной системы города являются налоговые доходы, уплаченные во все уровни бюджетов в условиях действующего законодательства.</w:t>
      </w:r>
    </w:p>
    <w:p w:rsidR="008E3328" w:rsidRPr="00467CBF" w:rsidRDefault="008E3328" w:rsidP="00674E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Объём налоговых поступлений в бюджеты всех уровней Российской Федерации за 2016 года уменьшился по отношению к аналогичному периоду прошлого года. По данным Управления Федеральной налоговой службы по Ханты–Мансийскому автономному округу – Югре, с территории города Когалыма поступило свыше 263,8 млрд. рублей налогов, сборов и иных обязательных платежей или 82,7% к уровню аналогичного периода прошлого года (январь-декабрь 2015 года – 318,9 млрд. рублей). При этом увеличение наблюдается по налогу на прибыль организаций: в январе-декабре 2016 года поступления этих налогов составили 16,6 млрд. рублей, что выше аналогичного периода прошлого года на 11,4%. Уменьшение наблюдается по поступлениям налога на добычу полезных ископаемых в виде углеводородного сырья, в январе-декабре 2016 года такие поступления составили 206,5 млрд. рублей, что на 20,7% ниже поступлений за аналогичный период прошлого года (январь-декабрь 2015 года – 260,5 млрд. рублей). Удельный вес этих поступлений в общем объёме налоговых платежей в январе-декабре 2015 года составлял 81,7%, в январе-декабре 2016 года – 78,3%. Произошло снижение поступлений налога на добавленную стоимость, в январе-декабре 2016 года поступления этого налога составили 91,4% к уровню аналогичного периода прошлого года, или 35,2 млрд. рублей.</w:t>
      </w:r>
    </w:p>
    <w:p w:rsidR="008E3328" w:rsidRPr="00467CBF" w:rsidRDefault="008E3328" w:rsidP="0067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Доля поступлений в бюджет города Когалыма в общем объеме налогов, сборов и иных обязательных платежей в консолидированный бюджет Российской Федерации незначительно повысилась к соответствующему периоду 2015 года и составила 0,5%.</w:t>
      </w:r>
    </w:p>
    <w:p w:rsidR="00674E51" w:rsidRPr="00467CBF" w:rsidRDefault="00674E51" w:rsidP="00674E5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674E51" w:rsidRPr="00467CBF" w:rsidRDefault="00674E51" w:rsidP="00674E5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8E3328" w:rsidRPr="00467CBF" w:rsidRDefault="008E3328" w:rsidP="00674E5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b/>
          <w:sz w:val="26"/>
          <w:szCs w:val="26"/>
          <w:lang w:eastAsia="ru-RU"/>
        </w:rPr>
        <w:t>Налоговые поступления по уровням бюджета</w:t>
      </w:r>
    </w:p>
    <w:p w:rsidR="008E3328" w:rsidRPr="00467CBF" w:rsidRDefault="008E3328" w:rsidP="00674E5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467CBF">
        <w:rPr>
          <w:rFonts w:ascii="Times New Roman" w:hAnsi="Times New Roman" w:cs="Times New Roman"/>
          <w:i/>
          <w:sz w:val="20"/>
          <w:szCs w:val="20"/>
          <w:lang w:eastAsia="ru-RU"/>
        </w:rPr>
        <w:t>млрд.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1788"/>
        <w:gridCol w:w="1786"/>
        <w:gridCol w:w="1321"/>
      </w:tblGrid>
      <w:tr w:rsidR="008E3328" w:rsidRPr="00467CBF" w:rsidTr="002A2588">
        <w:trPr>
          <w:trHeight w:val="503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Сумма налоговых поступлений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2015 г.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2016 г.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Темп роста, %</w:t>
            </w:r>
          </w:p>
        </w:tc>
      </w:tr>
      <w:tr w:rsidR="008E3328" w:rsidRPr="00467CBF" w:rsidTr="002A2588">
        <w:trPr>
          <w:trHeight w:val="245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328" w:rsidRPr="00467CBF" w:rsidRDefault="008E3328" w:rsidP="00674E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бюджеты всех уровней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318,9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263,8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82,7</w:t>
            </w:r>
          </w:p>
        </w:tc>
      </w:tr>
      <w:tr w:rsidR="008E3328" w:rsidRPr="00467CBF" w:rsidTr="002A2588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328" w:rsidRPr="00467CBF" w:rsidRDefault="008E3328" w:rsidP="00674E5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3328" w:rsidRPr="00467CBF" w:rsidTr="002A2588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328" w:rsidRPr="00467CBF" w:rsidRDefault="008E3328" w:rsidP="00674E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федеральный бюджет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301,5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244,0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80,9</w:t>
            </w:r>
          </w:p>
        </w:tc>
      </w:tr>
      <w:tr w:rsidR="008E3328" w:rsidRPr="00467CBF" w:rsidTr="002A2588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328" w:rsidRPr="00467CBF" w:rsidRDefault="008E3328" w:rsidP="00674E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доля в общей сумме поступлений, %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94,5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92,5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3328" w:rsidRPr="00467CBF" w:rsidTr="002A2588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328" w:rsidRPr="00467CBF" w:rsidRDefault="008E3328" w:rsidP="00674E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окружной бюджет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12,4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14,3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115,3</w:t>
            </w:r>
          </w:p>
        </w:tc>
      </w:tr>
      <w:tr w:rsidR="008E3328" w:rsidRPr="00467CBF" w:rsidTr="002A2588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328" w:rsidRPr="00467CBF" w:rsidRDefault="008E3328" w:rsidP="00674E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доля в общей сумме поступлений, %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5,4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3328" w:rsidRPr="00467CBF" w:rsidTr="002A2588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328" w:rsidRPr="00467CBF" w:rsidRDefault="008E3328" w:rsidP="00674E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бюджет Тюменской области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3,7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4,2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113,5</w:t>
            </w:r>
          </w:p>
        </w:tc>
      </w:tr>
      <w:tr w:rsidR="008E3328" w:rsidRPr="00467CBF" w:rsidTr="002A2588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328" w:rsidRPr="00467CBF" w:rsidRDefault="008E3328" w:rsidP="00674E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доля в общей сумме поступлений, %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3328" w:rsidRPr="00467CBF" w:rsidTr="002A2588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328" w:rsidRPr="00467CBF" w:rsidRDefault="008E3328" w:rsidP="00674E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местный бюджет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8E3328" w:rsidRPr="00467CBF" w:rsidTr="002A2588">
        <w:trPr>
          <w:trHeight w:val="20"/>
          <w:tblHeader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328" w:rsidRPr="00467CBF" w:rsidRDefault="008E3328" w:rsidP="00674E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доля в общей сумме поступлений, %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8" w:rsidRPr="00467CBF" w:rsidRDefault="008E3328" w:rsidP="0067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E3328" w:rsidRPr="00467CBF" w:rsidRDefault="008E3328" w:rsidP="0067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17093" w:rsidRPr="00467CBF" w:rsidRDefault="00B17093" w:rsidP="0067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Главный приоритет, заложенный в основу бюджета города </w:t>
      </w:r>
      <w:r w:rsidR="00D759B3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базовый принцип бюджетной политики города Когалыма на ближайшее время, это обеспечение устойчивости и сбалансированности бюджета города в среднесрочном периоде, концентрация ресурсов на приоритетных направлениях расходов, предусмотренных муниципальными программами, сохранение социальной направленности бюджета города, обеспечивающей повышение </w:t>
      </w:r>
      <w:proofErr w:type="gramStart"/>
      <w:r w:rsidRPr="00467CBF">
        <w:rPr>
          <w:rFonts w:ascii="Times New Roman" w:hAnsi="Times New Roman" w:cs="Times New Roman"/>
          <w:sz w:val="26"/>
          <w:szCs w:val="26"/>
          <w:lang w:eastAsia="ru-RU"/>
        </w:rPr>
        <w:t>качества жизни населения города Когалыма</w:t>
      </w:r>
      <w:proofErr w:type="gramEnd"/>
      <w:r w:rsidRPr="00467CB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E3328" w:rsidRPr="00467CBF" w:rsidRDefault="008E3328" w:rsidP="00674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03167" w:rsidRPr="00467CBF" w:rsidRDefault="00C03167" w:rsidP="00C031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b/>
          <w:sz w:val="26"/>
          <w:szCs w:val="26"/>
          <w:lang w:eastAsia="ru-RU"/>
        </w:rPr>
        <w:t>Основные параметры бюджета города Когалыма на 201</w:t>
      </w:r>
      <w:r w:rsidR="00D759B3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Pr="00467CBF">
        <w:rPr>
          <w:rFonts w:ascii="Times New Roman" w:hAnsi="Times New Roman" w:cs="Times New Roman"/>
          <w:b/>
          <w:sz w:val="26"/>
          <w:szCs w:val="26"/>
          <w:lang w:eastAsia="ru-RU"/>
        </w:rPr>
        <w:t>-2020 годы</w:t>
      </w:r>
    </w:p>
    <w:p w:rsidR="008E3328" w:rsidRPr="00467CBF" w:rsidRDefault="008E3328" w:rsidP="00C031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00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992"/>
        <w:gridCol w:w="1134"/>
        <w:gridCol w:w="1077"/>
        <w:gridCol w:w="1050"/>
        <w:gridCol w:w="1134"/>
        <w:gridCol w:w="1076"/>
        <w:gridCol w:w="992"/>
      </w:tblGrid>
      <w:tr w:rsidR="00C03167" w:rsidRPr="00467CBF" w:rsidTr="00D45DC2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C031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C03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2015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2017 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2018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2020</w:t>
            </w:r>
          </w:p>
        </w:tc>
      </w:tr>
      <w:tr w:rsidR="00C03167" w:rsidRPr="00467CBF" w:rsidTr="00D45DC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бюджета муниципального образования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7B5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7B54A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7B5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7B54A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667,3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7B54A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B54A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834,2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B54A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7B54A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028,4</w:t>
            </w:r>
          </w:p>
        </w:tc>
      </w:tr>
      <w:tr w:rsidR="00C03167" w:rsidRPr="00467CBF" w:rsidTr="00D45DC2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 - 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7B5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708,3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7B5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698,7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00B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00B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928,2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985,7</w:t>
            </w:r>
          </w:p>
        </w:tc>
      </w:tr>
      <w:tr w:rsidR="00C03167" w:rsidRPr="00467CBF" w:rsidTr="00D45DC2">
        <w:trPr>
          <w:trHeight w:val="7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доходы  бюджета муниципального образования -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7B5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7B5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331,6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603,4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721,8</w:t>
            </w:r>
          </w:p>
        </w:tc>
      </w:tr>
      <w:tr w:rsidR="00C03167" w:rsidRPr="00467CBF" w:rsidTr="00D45DC2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Неналоговые доходы - всего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384,3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367,10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263,90</w:t>
            </w:r>
          </w:p>
        </w:tc>
      </w:tr>
      <w:tr w:rsidR="00674E51" w:rsidRPr="00467CBF" w:rsidTr="00674E51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556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7B5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968,60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906,00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600BE4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042,70</w:t>
            </w:r>
          </w:p>
        </w:tc>
      </w:tr>
      <w:tr w:rsidR="00674E51" w:rsidRPr="00467CBF" w:rsidTr="00674E51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бюджета муниципального образования -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7B54A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7B54A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361,7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600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7B54A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600B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FD4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B54A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FD48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967,1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FD488D" w:rsidP="00FD4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B54A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FD488D" w:rsidP="00FD4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7B54A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192,2</w:t>
            </w:r>
          </w:p>
        </w:tc>
      </w:tr>
      <w:tr w:rsidR="00674E51" w:rsidRPr="00467CBF" w:rsidTr="00674E51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направлениям: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4E51" w:rsidRPr="00467CBF" w:rsidTr="00674E51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485,50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517,9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619,90</w:t>
            </w:r>
          </w:p>
        </w:tc>
      </w:tr>
      <w:tr w:rsidR="00674E51" w:rsidRPr="00467CBF" w:rsidTr="00674E51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D45DC2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D45DC2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03167"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D45DC2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03167"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D45DC2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03167"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D45DC2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03167"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DC2"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4E51" w:rsidRPr="00467CBF" w:rsidTr="00674E51">
        <w:trPr>
          <w:trHeight w:val="7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60,70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60,80</w:t>
            </w:r>
          </w:p>
        </w:tc>
      </w:tr>
      <w:tr w:rsidR="00C03167" w:rsidRPr="00467CBF" w:rsidTr="00D45DC2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359,00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295,70</w:t>
            </w:r>
          </w:p>
        </w:tc>
      </w:tr>
      <w:tr w:rsidR="00C03167" w:rsidRPr="00467CBF" w:rsidTr="00D45DC2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674,5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675,70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632,60</w:t>
            </w:r>
          </w:p>
        </w:tc>
      </w:tr>
      <w:tr w:rsidR="00C03167" w:rsidRPr="00467CBF" w:rsidTr="00D45DC2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C03167" w:rsidRPr="00467CBF" w:rsidTr="00D45DC2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812,7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7B5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866,90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44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44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074,20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963,0</w:t>
            </w:r>
          </w:p>
        </w:tc>
      </w:tr>
      <w:tr w:rsidR="00C03167" w:rsidRPr="00467CBF" w:rsidTr="00D45DC2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223,1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521,30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283,30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284,30</w:t>
            </w:r>
          </w:p>
        </w:tc>
      </w:tr>
      <w:tr w:rsidR="00C03167" w:rsidRPr="00467CBF" w:rsidTr="00D45DC2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E0135F" w:rsidP="00E0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03167"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C03167" w:rsidRPr="00467CBF" w:rsidTr="00D45DC2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166,5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44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118,10</w:t>
            </w:r>
          </w:p>
        </w:tc>
      </w:tr>
      <w:tr w:rsidR="00C03167" w:rsidRPr="00467CBF" w:rsidTr="00D45DC2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206,4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203,70</w:t>
            </w:r>
          </w:p>
        </w:tc>
      </w:tr>
      <w:tr w:rsidR="00C03167" w:rsidRPr="00467CBF" w:rsidTr="00D45DC2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044686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12,90</w:t>
            </w:r>
          </w:p>
        </w:tc>
      </w:tr>
      <w:tr w:rsidR="00C03167" w:rsidRPr="00467CBF" w:rsidTr="00D45DC2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03167" w:rsidRPr="00467CBF" w:rsidTr="00D45DC2">
        <w:trPr>
          <w:trHeight w:val="7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Дефицит(-),</w:t>
            </w:r>
            <w:r w:rsidR="00D45DC2"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профицит(+) 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-38,1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305,6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44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44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44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04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44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163,8</w:t>
            </w:r>
          </w:p>
        </w:tc>
      </w:tr>
      <w:tr w:rsidR="00C03167" w:rsidRPr="00467CBF" w:rsidTr="00D45DC2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Муниципальный долг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67" w:rsidRPr="00467CBF" w:rsidRDefault="00C03167" w:rsidP="008E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C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17093" w:rsidRPr="00467CBF" w:rsidRDefault="00B17093" w:rsidP="00B17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03167" w:rsidRPr="00467CBF" w:rsidRDefault="00C03167" w:rsidP="00C03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Формирование доходной базы бюджета города Когалыма осуществлено на основе действующего федерального и регионального бюджетного и налогового законодательства, с учётом нормативно-правовых требований Бюджетного и Налогового Кодексов Российской Федерации, нормативных правовых актов автономного округа, муниципального образования  изменений и дополнений к ним.</w:t>
      </w:r>
    </w:p>
    <w:p w:rsidR="00C03167" w:rsidRPr="00467CBF" w:rsidRDefault="00C03167" w:rsidP="0049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В отношении расходов, политика бюджета города Когалыма направлена на  исполнение социальных обязательств и концентрацию ресурсов на ключевых социально значимых направлениях. В 2016 года сохранена приоритетность в финансировании отраслей социальной сферы, включая расходы на образование, здравоохранение, физическую культуру и спорт, социальную политику, культуру. Удельный вес этих расходов составил 63,5% от общего объема расходов бюджета города Когалыма. В среднесрочной перспективе этот принцип будет сохранен.</w:t>
      </w:r>
      <w:r w:rsidR="00490E2A"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 В  2017 году в связи с реконструкцией киноконцертного комплекса «Янтарь» под филиал Государственного академического Малого театра России и здания дома культуры «Сибирь» увеличен объем расходов финансирования направления «Культура, кинематография» </w:t>
      </w:r>
    </w:p>
    <w:p w:rsidR="00C03167" w:rsidRPr="00467CBF" w:rsidRDefault="00C03167" w:rsidP="0049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Бюджетная обеспеченность на душу населения составила 72,7 тыс. рублей.</w:t>
      </w:r>
    </w:p>
    <w:p w:rsidR="00490E2A" w:rsidRPr="00467CBF" w:rsidRDefault="0004742C" w:rsidP="0049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Как и ранее, у городского округа отсутствует муниципальный долг, а также просроченная кредиторская задолженность по обязательствам, что свидетельствует о стабильности финансового положения.</w:t>
      </w:r>
    </w:p>
    <w:p w:rsidR="0004742C" w:rsidRPr="00467CBF" w:rsidRDefault="0004742C" w:rsidP="0049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Определение параметров бюджета города по уровню дефицита бюджета осуществлялось исходя из возможных источников финансирования, а также из необходимости соблюдения сбалансированности бюджета города. </w:t>
      </w:r>
    </w:p>
    <w:p w:rsidR="0004742C" w:rsidRPr="00467CBF" w:rsidRDefault="0004742C" w:rsidP="0049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В целях обеспечения прозрачности и открытости муниципальных финансов, повышения доступности и понятности информации о бюджете города Когалыма в 2016 году была продолжена регулярная публикация информационных ресурсов «Бюджет для граждан», «Открытый бюджет». </w:t>
      </w:r>
    </w:p>
    <w:p w:rsidR="0004742C" w:rsidRPr="00467CBF" w:rsidRDefault="0019133A" w:rsidP="00490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9133A">
        <w:rPr>
          <w:rFonts w:ascii="Times New Roman" w:hAnsi="Times New Roman" w:cs="Times New Roman"/>
          <w:sz w:val="26"/>
          <w:szCs w:val="26"/>
          <w:lang w:eastAsia="ru-RU"/>
        </w:rPr>
        <w:t>По итогам 2016 года Департаментом финансов Ханты-Мансийского  автономного округа – Югры проведена оценка уровня открытости бюджетных данных и участия граждан в бюджетном процессе в городских округах и муниципальных районах Ханты-Мансийского автономного округа – Югры, город Когалым занял 1 место в рейтинге.</w:t>
      </w:r>
    </w:p>
    <w:p w:rsidR="00C03167" w:rsidRPr="00674E51" w:rsidRDefault="00674E51" w:rsidP="00674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467CBF">
        <w:rPr>
          <w:rFonts w:ascii="Times New Roman" w:hAnsi="Times New Roman" w:cs="Times New Roman"/>
          <w:sz w:val="26"/>
          <w:szCs w:val="26"/>
          <w:lang w:eastAsia="ru-RU"/>
        </w:rPr>
        <w:t>____________________________</w:t>
      </w:r>
    </w:p>
    <w:sectPr w:rsidR="00C03167" w:rsidRPr="00674E51" w:rsidSect="00D8129F">
      <w:pgSz w:w="11906" w:h="16838"/>
      <w:pgMar w:top="1418" w:right="170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BE4" w:rsidRDefault="00600BE4">
      <w:r>
        <w:separator/>
      </w:r>
    </w:p>
  </w:endnote>
  <w:endnote w:type="continuationSeparator" w:id="0">
    <w:p w:rsidR="00600BE4" w:rsidRDefault="0060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775523"/>
      <w:docPartObj>
        <w:docPartGallery w:val="Page Numbers (Bottom of Page)"/>
        <w:docPartUnique/>
      </w:docPartObj>
    </w:sdtPr>
    <w:sdtContent>
      <w:p w:rsidR="00D8129F" w:rsidRDefault="00D8129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8129F" w:rsidRDefault="00D8129F" w:rsidP="00D8129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BE4" w:rsidRDefault="00600BE4">
      <w:r>
        <w:separator/>
      </w:r>
    </w:p>
  </w:footnote>
  <w:footnote w:type="continuationSeparator" w:id="0">
    <w:p w:rsidR="00600BE4" w:rsidRDefault="0060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507D"/>
    <w:multiLevelType w:val="hybridMultilevel"/>
    <w:tmpl w:val="66EE35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20212"/>
    <w:multiLevelType w:val="hybridMultilevel"/>
    <w:tmpl w:val="1C067D2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22DA9"/>
    <w:multiLevelType w:val="hybridMultilevel"/>
    <w:tmpl w:val="7018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468CA"/>
    <w:multiLevelType w:val="hybridMultilevel"/>
    <w:tmpl w:val="AFB0951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54D940B0"/>
    <w:multiLevelType w:val="hybridMultilevel"/>
    <w:tmpl w:val="8CA2B000"/>
    <w:lvl w:ilvl="0" w:tplc="D8024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CC4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E8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C2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2A8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C09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DAC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C49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09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359238C"/>
    <w:multiLevelType w:val="multilevel"/>
    <w:tmpl w:val="F648C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D79"/>
    <w:rsid w:val="000002D4"/>
    <w:rsid w:val="000003E4"/>
    <w:rsid w:val="00000626"/>
    <w:rsid w:val="00001134"/>
    <w:rsid w:val="00002D87"/>
    <w:rsid w:val="000035DE"/>
    <w:rsid w:val="000057BD"/>
    <w:rsid w:val="00006953"/>
    <w:rsid w:val="000109A3"/>
    <w:rsid w:val="000111BC"/>
    <w:rsid w:val="000122C3"/>
    <w:rsid w:val="00013986"/>
    <w:rsid w:val="00014DEC"/>
    <w:rsid w:val="00015C4B"/>
    <w:rsid w:val="000167E4"/>
    <w:rsid w:val="00025EF1"/>
    <w:rsid w:val="00026560"/>
    <w:rsid w:val="00026A04"/>
    <w:rsid w:val="00026D11"/>
    <w:rsid w:val="0002721A"/>
    <w:rsid w:val="00031568"/>
    <w:rsid w:val="0003222E"/>
    <w:rsid w:val="0003314C"/>
    <w:rsid w:val="000331CB"/>
    <w:rsid w:val="000342F7"/>
    <w:rsid w:val="00036704"/>
    <w:rsid w:val="00036A61"/>
    <w:rsid w:val="00040F8D"/>
    <w:rsid w:val="0004120F"/>
    <w:rsid w:val="00041D30"/>
    <w:rsid w:val="0004285B"/>
    <w:rsid w:val="00042C44"/>
    <w:rsid w:val="00042E8B"/>
    <w:rsid w:val="0004320B"/>
    <w:rsid w:val="00043F7B"/>
    <w:rsid w:val="00044686"/>
    <w:rsid w:val="000450D9"/>
    <w:rsid w:val="00046CEF"/>
    <w:rsid w:val="0004742C"/>
    <w:rsid w:val="00051BE3"/>
    <w:rsid w:val="0005221D"/>
    <w:rsid w:val="00052365"/>
    <w:rsid w:val="00053AD1"/>
    <w:rsid w:val="00053AD2"/>
    <w:rsid w:val="00057175"/>
    <w:rsid w:val="000610E8"/>
    <w:rsid w:val="000614A1"/>
    <w:rsid w:val="00063106"/>
    <w:rsid w:val="000676D4"/>
    <w:rsid w:val="00067FB1"/>
    <w:rsid w:val="00070B64"/>
    <w:rsid w:val="00071238"/>
    <w:rsid w:val="000715A5"/>
    <w:rsid w:val="00074595"/>
    <w:rsid w:val="00080D8B"/>
    <w:rsid w:val="00081769"/>
    <w:rsid w:val="0008296D"/>
    <w:rsid w:val="00083041"/>
    <w:rsid w:val="000834EC"/>
    <w:rsid w:val="000835C5"/>
    <w:rsid w:val="00083852"/>
    <w:rsid w:val="000842CB"/>
    <w:rsid w:val="000858BC"/>
    <w:rsid w:val="00086492"/>
    <w:rsid w:val="00086EE5"/>
    <w:rsid w:val="000902FD"/>
    <w:rsid w:val="00092510"/>
    <w:rsid w:val="00092EB5"/>
    <w:rsid w:val="000951BE"/>
    <w:rsid w:val="00095629"/>
    <w:rsid w:val="00096569"/>
    <w:rsid w:val="00096F49"/>
    <w:rsid w:val="000A1654"/>
    <w:rsid w:val="000A16D3"/>
    <w:rsid w:val="000A1DBD"/>
    <w:rsid w:val="000A4D65"/>
    <w:rsid w:val="000A5824"/>
    <w:rsid w:val="000A7E15"/>
    <w:rsid w:val="000B097B"/>
    <w:rsid w:val="000B1102"/>
    <w:rsid w:val="000B2017"/>
    <w:rsid w:val="000B28AF"/>
    <w:rsid w:val="000B31F2"/>
    <w:rsid w:val="000B4F1A"/>
    <w:rsid w:val="000B5144"/>
    <w:rsid w:val="000B62E1"/>
    <w:rsid w:val="000C04B0"/>
    <w:rsid w:val="000C083D"/>
    <w:rsid w:val="000C2C66"/>
    <w:rsid w:val="000C383A"/>
    <w:rsid w:val="000C3C19"/>
    <w:rsid w:val="000C40D9"/>
    <w:rsid w:val="000C5A9C"/>
    <w:rsid w:val="000D1F35"/>
    <w:rsid w:val="000D2E14"/>
    <w:rsid w:val="000D3F44"/>
    <w:rsid w:val="000D3F73"/>
    <w:rsid w:val="000D526E"/>
    <w:rsid w:val="000D7125"/>
    <w:rsid w:val="000E2094"/>
    <w:rsid w:val="000E506C"/>
    <w:rsid w:val="000E6A59"/>
    <w:rsid w:val="000E79AF"/>
    <w:rsid w:val="000F10E4"/>
    <w:rsid w:val="000F135A"/>
    <w:rsid w:val="000F2184"/>
    <w:rsid w:val="000F4645"/>
    <w:rsid w:val="000F5068"/>
    <w:rsid w:val="000F5FAA"/>
    <w:rsid w:val="000F782C"/>
    <w:rsid w:val="0010102E"/>
    <w:rsid w:val="0010153C"/>
    <w:rsid w:val="00102ED4"/>
    <w:rsid w:val="001037E1"/>
    <w:rsid w:val="001041FF"/>
    <w:rsid w:val="00104E5C"/>
    <w:rsid w:val="00105015"/>
    <w:rsid w:val="00105C0E"/>
    <w:rsid w:val="001201FF"/>
    <w:rsid w:val="00121332"/>
    <w:rsid w:val="00122C0F"/>
    <w:rsid w:val="00126D34"/>
    <w:rsid w:val="0013096A"/>
    <w:rsid w:val="00132CC0"/>
    <w:rsid w:val="001342F0"/>
    <w:rsid w:val="001349DA"/>
    <w:rsid w:val="001376EB"/>
    <w:rsid w:val="00137CB6"/>
    <w:rsid w:val="00137E89"/>
    <w:rsid w:val="00137FA6"/>
    <w:rsid w:val="00140996"/>
    <w:rsid w:val="00140F21"/>
    <w:rsid w:val="0014129E"/>
    <w:rsid w:val="00141762"/>
    <w:rsid w:val="001419DA"/>
    <w:rsid w:val="0014267C"/>
    <w:rsid w:val="001429B6"/>
    <w:rsid w:val="001444D5"/>
    <w:rsid w:val="001458BA"/>
    <w:rsid w:val="00146900"/>
    <w:rsid w:val="00147E36"/>
    <w:rsid w:val="0015117A"/>
    <w:rsid w:val="00151AB6"/>
    <w:rsid w:val="00152273"/>
    <w:rsid w:val="0015361E"/>
    <w:rsid w:val="00153675"/>
    <w:rsid w:val="00154142"/>
    <w:rsid w:val="00154BDC"/>
    <w:rsid w:val="00156585"/>
    <w:rsid w:val="00157CAC"/>
    <w:rsid w:val="00160A81"/>
    <w:rsid w:val="00162637"/>
    <w:rsid w:val="00162BDB"/>
    <w:rsid w:val="0016339A"/>
    <w:rsid w:val="0016503F"/>
    <w:rsid w:val="0017247B"/>
    <w:rsid w:val="00172FDD"/>
    <w:rsid w:val="0017648F"/>
    <w:rsid w:val="00176E95"/>
    <w:rsid w:val="001829E5"/>
    <w:rsid w:val="001873E8"/>
    <w:rsid w:val="0018746E"/>
    <w:rsid w:val="0019133A"/>
    <w:rsid w:val="001916B8"/>
    <w:rsid w:val="00194639"/>
    <w:rsid w:val="001972AD"/>
    <w:rsid w:val="001A0609"/>
    <w:rsid w:val="001A1B56"/>
    <w:rsid w:val="001A69C3"/>
    <w:rsid w:val="001A7795"/>
    <w:rsid w:val="001A7C21"/>
    <w:rsid w:val="001B1C07"/>
    <w:rsid w:val="001B25A8"/>
    <w:rsid w:val="001B3300"/>
    <w:rsid w:val="001B3B0D"/>
    <w:rsid w:val="001B3C1B"/>
    <w:rsid w:val="001B420A"/>
    <w:rsid w:val="001B43F2"/>
    <w:rsid w:val="001B44D4"/>
    <w:rsid w:val="001B56D2"/>
    <w:rsid w:val="001B76B5"/>
    <w:rsid w:val="001C1647"/>
    <w:rsid w:val="001C2228"/>
    <w:rsid w:val="001C2D2D"/>
    <w:rsid w:val="001C60A0"/>
    <w:rsid w:val="001C67F3"/>
    <w:rsid w:val="001D485A"/>
    <w:rsid w:val="001D6446"/>
    <w:rsid w:val="001D681E"/>
    <w:rsid w:val="001E12CE"/>
    <w:rsid w:val="001E14B5"/>
    <w:rsid w:val="001E1DAA"/>
    <w:rsid w:val="001E2379"/>
    <w:rsid w:val="001E5553"/>
    <w:rsid w:val="001E7548"/>
    <w:rsid w:val="001F030F"/>
    <w:rsid w:val="001F112E"/>
    <w:rsid w:val="001F1577"/>
    <w:rsid w:val="001F230E"/>
    <w:rsid w:val="001F2874"/>
    <w:rsid w:val="001F3CF1"/>
    <w:rsid w:val="001F5346"/>
    <w:rsid w:val="001F6C6F"/>
    <w:rsid w:val="00202135"/>
    <w:rsid w:val="00205316"/>
    <w:rsid w:val="00205470"/>
    <w:rsid w:val="00205B21"/>
    <w:rsid w:val="002072E5"/>
    <w:rsid w:val="002110CB"/>
    <w:rsid w:val="002118CE"/>
    <w:rsid w:val="00212013"/>
    <w:rsid w:val="00212210"/>
    <w:rsid w:val="00212AE7"/>
    <w:rsid w:val="00212FC4"/>
    <w:rsid w:val="0021331B"/>
    <w:rsid w:val="002156BA"/>
    <w:rsid w:val="00217423"/>
    <w:rsid w:val="00217CE7"/>
    <w:rsid w:val="00220BDC"/>
    <w:rsid w:val="002248E9"/>
    <w:rsid w:val="002253CE"/>
    <w:rsid w:val="00225457"/>
    <w:rsid w:val="00231341"/>
    <w:rsid w:val="0023143D"/>
    <w:rsid w:val="00232406"/>
    <w:rsid w:val="00232820"/>
    <w:rsid w:val="00232AF8"/>
    <w:rsid w:val="002348A3"/>
    <w:rsid w:val="00235921"/>
    <w:rsid w:val="00236129"/>
    <w:rsid w:val="00236E99"/>
    <w:rsid w:val="0024057A"/>
    <w:rsid w:val="00241D4F"/>
    <w:rsid w:val="00243016"/>
    <w:rsid w:val="0024391A"/>
    <w:rsid w:val="002441D8"/>
    <w:rsid w:val="002448C0"/>
    <w:rsid w:val="0025197C"/>
    <w:rsid w:val="002529BA"/>
    <w:rsid w:val="002534BB"/>
    <w:rsid w:val="0025481F"/>
    <w:rsid w:val="00255B35"/>
    <w:rsid w:val="00257269"/>
    <w:rsid w:val="0026028E"/>
    <w:rsid w:val="00265D4D"/>
    <w:rsid w:val="0026613F"/>
    <w:rsid w:val="002715C9"/>
    <w:rsid w:val="00271B51"/>
    <w:rsid w:val="00271F22"/>
    <w:rsid w:val="002738C6"/>
    <w:rsid w:val="00273A00"/>
    <w:rsid w:val="00274567"/>
    <w:rsid w:val="002747CD"/>
    <w:rsid w:val="00275329"/>
    <w:rsid w:val="00275868"/>
    <w:rsid w:val="00275959"/>
    <w:rsid w:val="002775E4"/>
    <w:rsid w:val="00280415"/>
    <w:rsid w:val="00280E9A"/>
    <w:rsid w:val="002813DC"/>
    <w:rsid w:val="00281E29"/>
    <w:rsid w:val="002825ED"/>
    <w:rsid w:val="00282629"/>
    <w:rsid w:val="00283341"/>
    <w:rsid w:val="00285A0D"/>
    <w:rsid w:val="0028660C"/>
    <w:rsid w:val="002869E1"/>
    <w:rsid w:val="00287CF3"/>
    <w:rsid w:val="002904C0"/>
    <w:rsid w:val="00290AC3"/>
    <w:rsid w:val="002926DD"/>
    <w:rsid w:val="00293B67"/>
    <w:rsid w:val="0029639E"/>
    <w:rsid w:val="00296AAA"/>
    <w:rsid w:val="002975CC"/>
    <w:rsid w:val="002979C2"/>
    <w:rsid w:val="002A0069"/>
    <w:rsid w:val="002A109E"/>
    <w:rsid w:val="002A1364"/>
    <w:rsid w:val="002A1942"/>
    <w:rsid w:val="002A2588"/>
    <w:rsid w:val="002A319A"/>
    <w:rsid w:val="002A3C46"/>
    <w:rsid w:val="002A41D0"/>
    <w:rsid w:val="002A54D6"/>
    <w:rsid w:val="002A54EF"/>
    <w:rsid w:val="002A74B6"/>
    <w:rsid w:val="002A7C9D"/>
    <w:rsid w:val="002B00C2"/>
    <w:rsid w:val="002B098C"/>
    <w:rsid w:val="002B19E6"/>
    <w:rsid w:val="002B3761"/>
    <w:rsid w:val="002B452B"/>
    <w:rsid w:val="002B554D"/>
    <w:rsid w:val="002B5E8E"/>
    <w:rsid w:val="002B71D9"/>
    <w:rsid w:val="002B77F7"/>
    <w:rsid w:val="002B7CC2"/>
    <w:rsid w:val="002C1399"/>
    <w:rsid w:val="002C4A08"/>
    <w:rsid w:val="002C56B9"/>
    <w:rsid w:val="002C601B"/>
    <w:rsid w:val="002C6791"/>
    <w:rsid w:val="002D082A"/>
    <w:rsid w:val="002D2060"/>
    <w:rsid w:val="002D258C"/>
    <w:rsid w:val="002D2C50"/>
    <w:rsid w:val="002D4073"/>
    <w:rsid w:val="002D5C78"/>
    <w:rsid w:val="002D7B46"/>
    <w:rsid w:val="002E044E"/>
    <w:rsid w:val="002E34F0"/>
    <w:rsid w:val="002E7C74"/>
    <w:rsid w:val="002F181C"/>
    <w:rsid w:val="002F2421"/>
    <w:rsid w:val="002F28B2"/>
    <w:rsid w:val="002F3EE1"/>
    <w:rsid w:val="002F5BA3"/>
    <w:rsid w:val="00300706"/>
    <w:rsid w:val="00303112"/>
    <w:rsid w:val="00304A80"/>
    <w:rsid w:val="00305EBD"/>
    <w:rsid w:val="00307625"/>
    <w:rsid w:val="0031219B"/>
    <w:rsid w:val="00312651"/>
    <w:rsid w:val="003142F5"/>
    <w:rsid w:val="003152D6"/>
    <w:rsid w:val="00316F45"/>
    <w:rsid w:val="00322C0A"/>
    <w:rsid w:val="003258C7"/>
    <w:rsid w:val="00330526"/>
    <w:rsid w:val="00330E68"/>
    <w:rsid w:val="0033257A"/>
    <w:rsid w:val="00334225"/>
    <w:rsid w:val="00334E74"/>
    <w:rsid w:val="00334FE0"/>
    <w:rsid w:val="00335AD4"/>
    <w:rsid w:val="00336DA3"/>
    <w:rsid w:val="003400B1"/>
    <w:rsid w:val="0034135C"/>
    <w:rsid w:val="00341696"/>
    <w:rsid w:val="00341BE1"/>
    <w:rsid w:val="00341D31"/>
    <w:rsid w:val="0034248F"/>
    <w:rsid w:val="003445F0"/>
    <w:rsid w:val="0034543A"/>
    <w:rsid w:val="0034544D"/>
    <w:rsid w:val="00345BB3"/>
    <w:rsid w:val="00346DD9"/>
    <w:rsid w:val="00350065"/>
    <w:rsid w:val="00351886"/>
    <w:rsid w:val="00351A6F"/>
    <w:rsid w:val="00352123"/>
    <w:rsid w:val="00352F2B"/>
    <w:rsid w:val="003530FC"/>
    <w:rsid w:val="00354342"/>
    <w:rsid w:val="00354BC2"/>
    <w:rsid w:val="00355DB7"/>
    <w:rsid w:val="003574E5"/>
    <w:rsid w:val="00357807"/>
    <w:rsid w:val="0036104D"/>
    <w:rsid w:val="00363157"/>
    <w:rsid w:val="003631D2"/>
    <w:rsid w:val="00363913"/>
    <w:rsid w:val="00364C51"/>
    <w:rsid w:val="003674EA"/>
    <w:rsid w:val="003708C8"/>
    <w:rsid w:val="00372DA6"/>
    <w:rsid w:val="0037450E"/>
    <w:rsid w:val="003764EB"/>
    <w:rsid w:val="00377004"/>
    <w:rsid w:val="00377E7A"/>
    <w:rsid w:val="0038491E"/>
    <w:rsid w:val="003852F2"/>
    <w:rsid w:val="00386200"/>
    <w:rsid w:val="00386DD1"/>
    <w:rsid w:val="003875F1"/>
    <w:rsid w:val="003918F6"/>
    <w:rsid w:val="0039214E"/>
    <w:rsid w:val="00392266"/>
    <w:rsid w:val="00394AD5"/>
    <w:rsid w:val="003A2510"/>
    <w:rsid w:val="003A2A67"/>
    <w:rsid w:val="003A3422"/>
    <w:rsid w:val="003A3BB5"/>
    <w:rsid w:val="003A4FF5"/>
    <w:rsid w:val="003A512E"/>
    <w:rsid w:val="003A6E9A"/>
    <w:rsid w:val="003B260A"/>
    <w:rsid w:val="003B3A2F"/>
    <w:rsid w:val="003B45DF"/>
    <w:rsid w:val="003B5F91"/>
    <w:rsid w:val="003C073A"/>
    <w:rsid w:val="003C205A"/>
    <w:rsid w:val="003C2D17"/>
    <w:rsid w:val="003C356E"/>
    <w:rsid w:val="003C361A"/>
    <w:rsid w:val="003C3E72"/>
    <w:rsid w:val="003C3FD1"/>
    <w:rsid w:val="003C528F"/>
    <w:rsid w:val="003C6698"/>
    <w:rsid w:val="003D0B28"/>
    <w:rsid w:val="003D23B3"/>
    <w:rsid w:val="003D3BE4"/>
    <w:rsid w:val="003D4144"/>
    <w:rsid w:val="003D4CD8"/>
    <w:rsid w:val="003D753C"/>
    <w:rsid w:val="003D7DFB"/>
    <w:rsid w:val="003E0234"/>
    <w:rsid w:val="003E0DB3"/>
    <w:rsid w:val="003E0F84"/>
    <w:rsid w:val="003E0FE1"/>
    <w:rsid w:val="003E1A26"/>
    <w:rsid w:val="003E23B9"/>
    <w:rsid w:val="003E3A54"/>
    <w:rsid w:val="003E4532"/>
    <w:rsid w:val="003E5712"/>
    <w:rsid w:val="003E6028"/>
    <w:rsid w:val="003E63DE"/>
    <w:rsid w:val="003E75BA"/>
    <w:rsid w:val="003F01FA"/>
    <w:rsid w:val="003F1456"/>
    <w:rsid w:val="003F15BA"/>
    <w:rsid w:val="003F1C52"/>
    <w:rsid w:val="003F265A"/>
    <w:rsid w:val="003F2731"/>
    <w:rsid w:val="003F2964"/>
    <w:rsid w:val="003F35D9"/>
    <w:rsid w:val="003F7F2C"/>
    <w:rsid w:val="00400369"/>
    <w:rsid w:val="004027C8"/>
    <w:rsid w:val="00405A80"/>
    <w:rsid w:val="0040772C"/>
    <w:rsid w:val="0041037F"/>
    <w:rsid w:val="0041232F"/>
    <w:rsid w:val="00412D49"/>
    <w:rsid w:val="0041389D"/>
    <w:rsid w:val="00413A3A"/>
    <w:rsid w:val="00416CA5"/>
    <w:rsid w:val="004204DD"/>
    <w:rsid w:val="00422811"/>
    <w:rsid w:val="00425D22"/>
    <w:rsid w:val="004272A8"/>
    <w:rsid w:val="0042781A"/>
    <w:rsid w:val="00431B9B"/>
    <w:rsid w:val="00432462"/>
    <w:rsid w:val="00432A7D"/>
    <w:rsid w:val="00432C7D"/>
    <w:rsid w:val="00433AD4"/>
    <w:rsid w:val="00433F77"/>
    <w:rsid w:val="00434499"/>
    <w:rsid w:val="00435005"/>
    <w:rsid w:val="00435290"/>
    <w:rsid w:val="004356C7"/>
    <w:rsid w:val="00441384"/>
    <w:rsid w:val="004418FC"/>
    <w:rsid w:val="00442AEA"/>
    <w:rsid w:val="004433B7"/>
    <w:rsid w:val="00445055"/>
    <w:rsid w:val="004450DE"/>
    <w:rsid w:val="004455C3"/>
    <w:rsid w:val="00446760"/>
    <w:rsid w:val="00446D1C"/>
    <w:rsid w:val="004473BF"/>
    <w:rsid w:val="00450717"/>
    <w:rsid w:val="00450A31"/>
    <w:rsid w:val="004542BC"/>
    <w:rsid w:val="004544C8"/>
    <w:rsid w:val="00454C5F"/>
    <w:rsid w:val="00456C72"/>
    <w:rsid w:val="00457338"/>
    <w:rsid w:val="0046296F"/>
    <w:rsid w:val="00464C3F"/>
    <w:rsid w:val="00465E81"/>
    <w:rsid w:val="0046705C"/>
    <w:rsid w:val="00467CBF"/>
    <w:rsid w:val="0047050F"/>
    <w:rsid w:val="00470537"/>
    <w:rsid w:val="004717FB"/>
    <w:rsid w:val="00473116"/>
    <w:rsid w:val="00473A29"/>
    <w:rsid w:val="00475BEE"/>
    <w:rsid w:val="00477F3C"/>
    <w:rsid w:val="0048056E"/>
    <w:rsid w:val="004837E6"/>
    <w:rsid w:val="004862E0"/>
    <w:rsid w:val="00487D2A"/>
    <w:rsid w:val="00487F07"/>
    <w:rsid w:val="00490854"/>
    <w:rsid w:val="00490B93"/>
    <w:rsid w:val="00490E2A"/>
    <w:rsid w:val="00491EC3"/>
    <w:rsid w:val="00495FA5"/>
    <w:rsid w:val="00497065"/>
    <w:rsid w:val="0049740C"/>
    <w:rsid w:val="0049786F"/>
    <w:rsid w:val="004A00AE"/>
    <w:rsid w:val="004A1477"/>
    <w:rsid w:val="004A24B8"/>
    <w:rsid w:val="004A30FE"/>
    <w:rsid w:val="004A574C"/>
    <w:rsid w:val="004A592C"/>
    <w:rsid w:val="004A6CD7"/>
    <w:rsid w:val="004A7CA9"/>
    <w:rsid w:val="004B0AE3"/>
    <w:rsid w:val="004B15B1"/>
    <w:rsid w:val="004B2E49"/>
    <w:rsid w:val="004B2E5D"/>
    <w:rsid w:val="004B4079"/>
    <w:rsid w:val="004B410C"/>
    <w:rsid w:val="004B7F03"/>
    <w:rsid w:val="004C00B3"/>
    <w:rsid w:val="004C00EE"/>
    <w:rsid w:val="004C082A"/>
    <w:rsid w:val="004C1DFC"/>
    <w:rsid w:val="004C3079"/>
    <w:rsid w:val="004C5049"/>
    <w:rsid w:val="004C6CE8"/>
    <w:rsid w:val="004C7B7D"/>
    <w:rsid w:val="004D2A27"/>
    <w:rsid w:val="004D52DF"/>
    <w:rsid w:val="004E2EFF"/>
    <w:rsid w:val="004E5A48"/>
    <w:rsid w:val="004E5F4A"/>
    <w:rsid w:val="004E6C4B"/>
    <w:rsid w:val="004E7E57"/>
    <w:rsid w:val="004F0309"/>
    <w:rsid w:val="004F318D"/>
    <w:rsid w:val="004F347E"/>
    <w:rsid w:val="004F3ADC"/>
    <w:rsid w:val="004F4136"/>
    <w:rsid w:val="004F5D2E"/>
    <w:rsid w:val="005018AB"/>
    <w:rsid w:val="00502E7C"/>
    <w:rsid w:val="005041CF"/>
    <w:rsid w:val="00504A3D"/>
    <w:rsid w:val="00506AA5"/>
    <w:rsid w:val="00510293"/>
    <w:rsid w:val="00510649"/>
    <w:rsid w:val="0051087F"/>
    <w:rsid w:val="00512658"/>
    <w:rsid w:val="00512947"/>
    <w:rsid w:val="0051371F"/>
    <w:rsid w:val="005144D9"/>
    <w:rsid w:val="00515B73"/>
    <w:rsid w:val="005161D5"/>
    <w:rsid w:val="00516D32"/>
    <w:rsid w:val="0051781E"/>
    <w:rsid w:val="00517A3D"/>
    <w:rsid w:val="005205E0"/>
    <w:rsid w:val="00520FF2"/>
    <w:rsid w:val="00521E04"/>
    <w:rsid w:val="00521F6B"/>
    <w:rsid w:val="005239C0"/>
    <w:rsid w:val="005248A5"/>
    <w:rsid w:val="0052546B"/>
    <w:rsid w:val="00525884"/>
    <w:rsid w:val="00530452"/>
    <w:rsid w:val="00530EEA"/>
    <w:rsid w:val="00533D67"/>
    <w:rsid w:val="00534833"/>
    <w:rsid w:val="00535EA3"/>
    <w:rsid w:val="005362A3"/>
    <w:rsid w:val="00536B51"/>
    <w:rsid w:val="00541920"/>
    <w:rsid w:val="005419E0"/>
    <w:rsid w:val="00542C28"/>
    <w:rsid w:val="005434C3"/>
    <w:rsid w:val="00545776"/>
    <w:rsid w:val="00545821"/>
    <w:rsid w:val="00546656"/>
    <w:rsid w:val="005527FB"/>
    <w:rsid w:val="005538A3"/>
    <w:rsid w:val="00553A17"/>
    <w:rsid w:val="00555BD7"/>
    <w:rsid w:val="005574E2"/>
    <w:rsid w:val="005578FE"/>
    <w:rsid w:val="005603FD"/>
    <w:rsid w:val="00560F97"/>
    <w:rsid w:val="00562BA3"/>
    <w:rsid w:val="00563200"/>
    <w:rsid w:val="005634EE"/>
    <w:rsid w:val="00564D70"/>
    <w:rsid w:val="00565100"/>
    <w:rsid w:val="0056566B"/>
    <w:rsid w:val="00566825"/>
    <w:rsid w:val="00566AE8"/>
    <w:rsid w:val="00567161"/>
    <w:rsid w:val="00571843"/>
    <w:rsid w:val="00577426"/>
    <w:rsid w:val="00581323"/>
    <w:rsid w:val="00583FB6"/>
    <w:rsid w:val="00584603"/>
    <w:rsid w:val="00584A57"/>
    <w:rsid w:val="00584CB4"/>
    <w:rsid w:val="00586B9F"/>
    <w:rsid w:val="00587CD5"/>
    <w:rsid w:val="00590B0A"/>
    <w:rsid w:val="00591141"/>
    <w:rsid w:val="00592CB3"/>
    <w:rsid w:val="00593CAC"/>
    <w:rsid w:val="00595BD8"/>
    <w:rsid w:val="00595BE5"/>
    <w:rsid w:val="00596347"/>
    <w:rsid w:val="00596567"/>
    <w:rsid w:val="0059697F"/>
    <w:rsid w:val="005A23BD"/>
    <w:rsid w:val="005A3BA6"/>
    <w:rsid w:val="005A443A"/>
    <w:rsid w:val="005A6CCB"/>
    <w:rsid w:val="005A6E7B"/>
    <w:rsid w:val="005B07F6"/>
    <w:rsid w:val="005B1E5D"/>
    <w:rsid w:val="005B3126"/>
    <w:rsid w:val="005B35E0"/>
    <w:rsid w:val="005B523D"/>
    <w:rsid w:val="005C0A7F"/>
    <w:rsid w:val="005C0C61"/>
    <w:rsid w:val="005C1335"/>
    <w:rsid w:val="005C3EA6"/>
    <w:rsid w:val="005C5F58"/>
    <w:rsid w:val="005C7AFE"/>
    <w:rsid w:val="005D0B8F"/>
    <w:rsid w:val="005D141E"/>
    <w:rsid w:val="005D1791"/>
    <w:rsid w:val="005D45E4"/>
    <w:rsid w:val="005D7C0B"/>
    <w:rsid w:val="005E155D"/>
    <w:rsid w:val="005E28BC"/>
    <w:rsid w:val="005E35DD"/>
    <w:rsid w:val="005E393D"/>
    <w:rsid w:val="005E609D"/>
    <w:rsid w:val="005F0C59"/>
    <w:rsid w:val="005F0C5C"/>
    <w:rsid w:val="005F10BF"/>
    <w:rsid w:val="005F126E"/>
    <w:rsid w:val="005F155B"/>
    <w:rsid w:val="005F31BD"/>
    <w:rsid w:val="005F329C"/>
    <w:rsid w:val="005F3373"/>
    <w:rsid w:val="005F4E32"/>
    <w:rsid w:val="005F775B"/>
    <w:rsid w:val="005F79A6"/>
    <w:rsid w:val="005F7C44"/>
    <w:rsid w:val="00600BE4"/>
    <w:rsid w:val="006013D6"/>
    <w:rsid w:val="00601F5E"/>
    <w:rsid w:val="006023E7"/>
    <w:rsid w:val="00605EA2"/>
    <w:rsid w:val="00606D2C"/>
    <w:rsid w:val="006110C9"/>
    <w:rsid w:val="00614441"/>
    <w:rsid w:val="00614E46"/>
    <w:rsid w:val="00616305"/>
    <w:rsid w:val="00620A64"/>
    <w:rsid w:val="006220CA"/>
    <w:rsid w:val="006261CA"/>
    <w:rsid w:val="00634F2B"/>
    <w:rsid w:val="00635CFD"/>
    <w:rsid w:val="00635D91"/>
    <w:rsid w:val="0063799E"/>
    <w:rsid w:val="006427B8"/>
    <w:rsid w:val="0064381D"/>
    <w:rsid w:val="00644664"/>
    <w:rsid w:val="00645390"/>
    <w:rsid w:val="006456C4"/>
    <w:rsid w:val="00646713"/>
    <w:rsid w:val="00647858"/>
    <w:rsid w:val="00650B1B"/>
    <w:rsid w:val="00650F03"/>
    <w:rsid w:val="006514A9"/>
    <w:rsid w:val="00652A46"/>
    <w:rsid w:val="00654C90"/>
    <w:rsid w:val="0065536F"/>
    <w:rsid w:val="006633B6"/>
    <w:rsid w:val="006638BF"/>
    <w:rsid w:val="0066426A"/>
    <w:rsid w:val="006643E2"/>
    <w:rsid w:val="006651BF"/>
    <w:rsid w:val="00665577"/>
    <w:rsid w:val="00666CFB"/>
    <w:rsid w:val="00667D06"/>
    <w:rsid w:val="00672048"/>
    <w:rsid w:val="00672C4A"/>
    <w:rsid w:val="00674CF2"/>
    <w:rsid w:val="00674E51"/>
    <w:rsid w:val="006762C1"/>
    <w:rsid w:val="006776A9"/>
    <w:rsid w:val="00681A23"/>
    <w:rsid w:val="00681B45"/>
    <w:rsid w:val="006833D9"/>
    <w:rsid w:val="0068581E"/>
    <w:rsid w:val="00685AFD"/>
    <w:rsid w:val="006904F7"/>
    <w:rsid w:val="00690C9C"/>
    <w:rsid w:val="0069247C"/>
    <w:rsid w:val="006932D8"/>
    <w:rsid w:val="00693CFF"/>
    <w:rsid w:val="00694A60"/>
    <w:rsid w:val="0069606A"/>
    <w:rsid w:val="00697A12"/>
    <w:rsid w:val="00697D4E"/>
    <w:rsid w:val="006A0C32"/>
    <w:rsid w:val="006A213D"/>
    <w:rsid w:val="006A2AA0"/>
    <w:rsid w:val="006A3055"/>
    <w:rsid w:val="006A67D6"/>
    <w:rsid w:val="006A69E5"/>
    <w:rsid w:val="006B0167"/>
    <w:rsid w:val="006B1CA7"/>
    <w:rsid w:val="006B23E3"/>
    <w:rsid w:val="006B51CB"/>
    <w:rsid w:val="006B5685"/>
    <w:rsid w:val="006B7405"/>
    <w:rsid w:val="006C0684"/>
    <w:rsid w:val="006C0DBB"/>
    <w:rsid w:val="006C60CF"/>
    <w:rsid w:val="006C611C"/>
    <w:rsid w:val="006D3007"/>
    <w:rsid w:val="006D4492"/>
    <w:rsid w:val="006D4559"/>
    <w:rsid w:val="006D5390"/>
    <w:rsid w:val="006D53D3"/>
    <w:rsid w:val="006D5D3E"/>
    <w:rsid w:val="006D6785"/>
    <w:rsid w:val="006D7872"/>
    <w:rsid w:val="006E1723"/>
    <w:rsid w:val="006E1FDF"/>
    <w:rsid w:val="006E2A07"/>
    <w:rsid w:val="006E3249"/>
    <w:rsid w:val="006E41A9"/>
    <w:rsid w:val="006E6A94"/>
    <w:rsid w:val="006E7A2A"/>
    <w:rsid w:val="006F1201"/>
    <w:rsid w:val="006F3077"/>
    <w:rsid w:val="006F3BB3"/>
    <w:rsid w:val="006F48DA"/>
    <w:rsid w:val="006F4A41"/>
    <w:rsid w:val="006F57FF"/>
    <w:rsid w:val="006F648B"/>
    <w:rsid w:val="006F7A2D"/>
    <w:rsid w:val="00701D54"/>
    <w:rsid w:val="00703FF9"/>
    <w:rsid w:val="00704876"/>
    <w:rsid w:val="0070499B"/>
    <w:rsid w:val="00705678"/>
    <w:rsid w:val="007064DD"/>
    <w:rsid w:val="007072F9"/>
    <w:rsid w:val="00707EFA"/>
    <w:rsid w:val="007105D9"/>
    <w:rsid w:val="00713E7A"/>
    <w:rsid w:val="00716F24"/>
    <w:rsid w:val="00717F4B"/>
    <w:rsid w:val="0072250F"/>
    <w:rsid w:val="007240C2"/>
    <w:rsid w:val="00724288"/>
    <w:rsid w:val="00724F7E"/>
    <w:rsid w:val="00725554"/>
    <w:rsid w:val="00726CA6"/>
    <w:rsid w:val="00727707"/>
    <w:rsid w:val="00727C11"/>
    <w:rsid w:val="00730BFF"/>
    <w:rsid w:val="00733602"/>
    <w:rsid w:val="0073365E"/>
    <w:rsid w:val="00733E10"/>
    <w:rsid w:val="00736828"/>
    <w:rsid w:val="00741A09"/>
    <w:rsid w:val="007423DC"/>
    <w:rsid w:val="007427A2"/>
    <w:rsid w:val="00743185"/>
    <w:rsid w:val="007448BF"/>
    <w:rsid w:val="00746400"/>
    <w:rsid w:val="0074708C"/>
    <w:rsid w:val="00747C30"/>
    <w:rsid w:val="007506B0"/>
    <w:rsid w:val="00750CD8"/>
    <w:rsid w:val="007517BD"/>
    <w:rsid w:val="00752147"/>
    <w:rsid w:val="00752ADE"/>
    <w:rsid w:val="007548B3"/>
    <w:rsid w:val="007602EE"/>
    <w:rsid w:val="00762B0C"/>
    <w:rsid w:val="00762E66"/>
    <w:rsid w:val="00763717"/>
    <w:rsid w:val="00763F2E"/>
    <w:rsid w:val="007712F3"/>
    <w:rsid w:val="00774398"/>
    <w:rsid w:val="00775178"/>
    <w:rsid w:val="00775B30"/>
    <w:rsid w:val="00777DC8"/>
    <w:rsid w:val="007825D8"/>
    <w:rsid w:val="00784866"/>
    <w:rsid w:val="00785BBF"/>
    <w:rsid w:val="00785D9B"/>
    <w:rsid w:val="00786606"/>
    <w:rsid w:val="00790A4D"/>
    <w:rsid w:val="00793A41"/>
    <w:rsid w:val="00794352"/>
    <w:rsid w:val="007952EF"/>
    <w:rsid w:val="00795EEC"/>
    <w:rsid w:val="007A15BC"/>
    <w:rsid w:val="007A23A4"/>
    <w:rsid w:val="007A3AB4"/>
    <w:rsid w:val="007A3CEC"/>
    <w:rsid w:val="007A6766"/>
    <w:rsid w:val="007A6769"/>
    <w:rsid w:val="007B1957"/>
    <w:rsid w:val="007B1A7F"/>
    <w:rsid w:val="007B28E8"/>
    <w:rsid w:val="007B4A31"/>
    <w:rsid w:val="007B54A9"/>
    <w:rsid w:val="007B594B"/>
    <w:rsid w:val="007B5F09"/>
    <w:rsid w:val="007B5FAA"/>
    <w:rsid w:val="007B6619"/>
    <w:rsid w:val="007B6654"/>
    <w:rsid w:val="007B6B5C"/>
    <w:rsid w:val="007B7E8B"/>
    <w:rsid w:val="007C3D5D"/>
    <w:rsid w:val="007D13C4"/>
    <w:rsid w:val="007D1CF5"/>
    <w:rsid w:val="007D6F8D"/>
    <w:rsid w:val="007E1B41"/>
    <w:rsid w:val="007E3166"/>
    <w:rsid w:val="007E41B0"/>
    <w:rsid w:val="007E5BA9"/>
    <w:rsid w:val="007E604D"/>
    <w:rsid w:val="007E6F4E"/>
    <w:rsid w:val="007F0791"/>
    <w:rsid w:val="007F2263"/>
    <w:rsid w:val="007F351A"/>
    <w:rsid w:val="007F54DB"/>
    <w:rsid w:val="007F5DC8"/>
    <w:rsid w:val="008010A7"/>
    <w:rsid w:val="0080290A"/>
    <w:rsid w:val="00803A8B"/>
    <w:rsid w:val="008056EC"/>
    <w:rsid w:val="00805759"/>
    <w:rsid w:val="00805D2A"/>
    <w:rsid w:val="00810492"/>
    <w:rsid w:val="0081104F"/>
    <w:rsid w:val="00815EF4"/>
    <w:rsid w:val="00816743"/>
    <w:rsid w:val="00816BA2"/>
    <w:rsid w:val="00816E1B"/>
    <w:rsid w:val="008210F2"/>
    <w:rsid w:val="00823CBE"/>
    <w:rsid w:val="0082476D"/>
    <w:rsid w:val="00825991"/>
    <w:rsid w:val="00825DC2"/>
    <w:rsid w:val="0082738A"/>
    <w:rsid w:val="00834E55"/>
    <w:rsid w:val="008350EB"/>
    <w:rsid w:val="0083550C"/>
    <w:rsid w:val="00835599"/>
    <w:rsid w:val="008370A1"/>
    <w:rsid w:val="0084040B"/>
    <w:rsid w:val="00841647"/>
    <w:rsid w:val="0084190F"/>
    <w:rsid w:val="008449B7"/>
    <w:rsid w:val="008449C4"/>
    <w:rsid w:val="0084533C"/>
    <w:rsid w:val="00851063"/>
    <w:rsid w:val="00852A71"/>
    <w:rsid w:val="00853C2A"/>
    <w:rsid w:val="008551AD"/>
    <w:rsid w:val="00857012"/>
    <w:rsid w:val="00857584"/>
    <w:rsid w:val="008578F6"/>
    <w:rsid w:val="008624C7"/>
    <w:rsid w:val="00863623"/>
    <w:rsid w:val="00863CDE"/>
    <w:rsid w:val="00864AA1"/>
    <w:rsid w:val="00864B54"/>
    <w:rsid w:val="00866AA3"/>
    <w:rsid w:val="00870814"/>
    <w:rsid w:val="008723E1"/>
    <w:rsid w:val="00873546"/>
    <w:rsid w:val="00873DB2"/>
    <w:rsid w:val="008747D5"/>
    <w:rsid w:val="0087549C"/>
    <w:rsid w:val="00875B2F"/>
    <w:rsid w:val="00876141"/>
    <w:rsid w:val="00876368"/>
    <w:rsid w:val="008764C3"/>
    <w:rsid w:val="0087695B"/>
    <w:rsid w:val="00876F59"/>
    <w:rsid w:val="00877378"/>
    <w:rsid w:val="00877C3A"/>
    <w:rsid w:val="0088608E"/>
    <w:rsid w:val="00886927"/>
    <w:rsid w:val="00886E51"/>
    <w:rsid w:val="00887922"/>
    <w:rsid w:val="0089183D"/>
    <w:rsid w:val="00891840"/>
    <w:rsid w:val="00891F47"/>
    <w:rsid w:val="00894015"/>
    <w:rsid w:val="008949D6"/>
    <w:rsid w:val="0089624E"/>
    <w:rsid w:val="00897523"/>
    <w:rsid w:val="00897ADF"/>
    <w:rsid w:val="008A0144"/>
    <w:rsid w:val="008A02A9"/>
    <w:rsid w:val="008A0DAC"/>
    <w:rsid w:val="008A1515"/>
    <w:rsid w:val="008A2441"/>
    <w:rsid w:val="008A428D"/>
    <w:rsid w:val="008A4984"/>
    <w:rsid w:val="008A512C"/>
    <w:rsid w:val="008A5410"/>
    <w:rsid w:val="008A652E"/>
    <w:rsid w:val="008A7062"/>
    <w:rsid w:val="008B029D"/>
    <w:rsid w:val="008B03EB"/>
    <w:rsid w:val="008B526C"/>
    <w:rsid w:val="008B544E"/>
    <w:rsid w:val="008B6232"/>
    <w:rsid w:val="008B6859"/>
    <w:rsid w:val="008B6D5A"/>
    <w:rsid w:val="008B6FB6"/>
    <w:rsid w:val="008B7F2E"/>
    <w:rsid w:val="008C44EE"/>
    <w:rsid w:val="008C4E4D"/>
    <w:rsid w:val="008C5216"/>
    <w:rsid w:val="008C5EDA"/>
    <w:rsid w:val="008C60BE"/>
    <w:rsid w:val="008C6780"/>
    <w:rsid w:val="008C6E79"/>
    <w:rsid w:val="008C768E"/>
    <w:rsid w:val="008D1A6E"/>
    <w:rsid w:val="008D3870"/>
    <w:rsid w:val="008D48FB"/>
    <w:rsid w:val="008D6A17"/>
    <w:rsid w:val="008D74B3"/>
    <w:rsid w:val="008D7B2F"/>
    <w:rsid w:val="008D7ECC"/>
    <w:rsid w:val="008E18AC"/>
    <w:rsid w:val="008E1B47"/>
    <w:rsid w:val="008E3328"/>
    <w:rsid w:val="008E4E3B"/>
    <w:rsid w:val="008E529E"/>
    <w:rsid w:val="008E56AA"/>
    <w:rsid w:val="008E7021"/>
    <w:rsid w:val="008E70A2"/>
    <w:rsid w:val="008F2869"/>
    <w:rsid w:val="008F456F"/>
    <w:rsid w:val="008F465B"/>
    <w:rsid w:val="0090154E"/>
    <w:rsid w:val="009017B8"/>
    <w:rsid w:val="00902B45"/>
    <w:rsid w:val="00903B75"/>
    <w:rsid w:val="00903D5C"/>
    <w:rsid w:val="00904046"/>
    <w:rsid w:val="009044D4"/>
    <w:rsid w:val="00904FCC"/>
    <w:rsid w:val="00905B58"/>
    <w:rsid w:val="00905F8A"/>
    <w:rsid w:val="00906485"/>
    <w:rsid w:val="00910BBA"/>
    <w:rsid w:val="009110D7"/>
    <w:rsid w:val="009114DD"/>
    <w:rsid w:val="00912019"/>
    <w:rsid w:val="009134F2"/>
    <w:rsid w:val="00916A3F"/>
    <w:rsid w:val="009209E7"/>
    <w:rsid w:val="00922C76"/>
    <w:rsid w:val="00922EF8"/>
    <w:rsid w:val="009253D0"/>
    <w:rsid w:val="00927C5D"/>
    <w:rsid w:val="00930C80"/>
    <w:rsid w:val="009315C6"/>
    <w:rsid w:val="00934BA5"/>
    <w:rsid w:val="00935BE4"/>
    <w:rsid w:val="00936100"/>
    <w:rsid w:val="00941DDE"/>
    <w:rsid w:val="009423FE"/>
    <w:rsid w:val="0094402D"/>
    <w:rsid w:val="00944639"/>
    <w:rsid w:val="009446D3"/>
    <w:rsid w:val="009463E2"/>
    <w:rsid w:val="00947D7C"/>
    <w:rsid w:val="0095014C"/>
    <w:rsid w:val="0095094C"/>
    <w:rsid w:val="00950AEE"/>
    <w:rsid w:val="00950EF3"/>
    <w:rsid w:val="00953785"/>
    <w:rsid w:val="00953DD2"/>
    <w:rsid w:val="009547DB"/>
    <w:rsid w:val="00954EB0"/>
    <w:rsid w:val="00956BAF"/>
    <w:rsid w:val="009570A9"/>
    <w:rsid w:val="00957644"/>
    <w:rsid w:val="009613AE"/>
    <w:rsid w:val="009617BA"/>
    <w:rsid w:val="00962513"/>
    <w:rsid w:val="00963B3D"/>
    <w:rsid w:val="009649F6"/>
    <w:rsid w:val="009650A5"/>
    <w:rsid w:val="00965F27"/>
    <w:rsid w:val="0096703B"/>
    <w:rsid w:val="0096718F"/>
    <w:rsid w:val="00971F51"/>
    <w:rsid w:val="0097261D"/>
    <w:rsid w:val="009744AA"/>
    <w:rsid w:val="00974E78"/>
    <w:rsid w:val="009751B3"/>
    <w:rsid w:val="00981D84"/>
    <w:rsid w:val="00981FA7"/>
    <w:rsid w:val="009855F9"/>
    <w:rsid w:val="009865DE"/>
    <w:rsid w:val="00986860"/>
    <w:rsid w:val="00990022"/>
    <w:rsid w:val="00990C51"/>
    <w:rsid w:val="00990F27"/>
    <w:rsid w:val="00992A28"/>
    <w:rsid w:val="00993FFD"/>
    <w:rsid w:val="00994AF8"/>
    <w:rsid w:val="00994F76"/>
    <w:rsid w:val="00995987"/>
    <w:rsid w:val="009960DE"/>
    <w:rsid w:val="00996CC3"/>
    <w:rsid w:val="0099729C"/>
    <w:rsid w:val="009972D4"/>
    <w:rsid w:val="009A517C"/>
    <w:rsid w:val="009A7171"/>
    <w:rsid w:val="009B0EF5"/>
    <w:rsid w:val="009B0F04"/>
    <w:rsid w:val="009B0F8C"/>
    <w:rsid w:val="009B137B"/>
    <w:rsid w:val="009B2AED"/>
    <w:rsid w:val="009B3D6E"/>
    <w:rsid w:val="009B46C9"/>
    <w:rsid w:val="009B4961"/>
    <w:rsid w:val="009B56B1"/>
    <w:rsid w:val="009B63DD"/>
    <w:rsid w:val="009B7AD0"/>
    <w:rsid w:val="009C0F37"/>
    <w:rsid w:val="009C354D"/>
    <w:rsid w:val="009C4654"/>
    <w:rsid w:val="009C4C20"/>
    <w:rsid w:val="009C58A5"/>
    <w:rsid w:val="009C5B8B"/>
    <w:rsid w:val="009C691C"/>
    <w:rsid w:val="009C6C20"/>
    <w:rsid w:val="009D2620"/>
    <w:rsid w:val="009D30D2"/>
    <w:rsid w:val="009D486A"/>
    <w:rsid w:val="009D4EDB"/>
    <w:rsid w:val="009D50D6"/>
    <w:rsid w:val="009D7C1F"/>
    <w:rsid w:val="009D7D04"/>
    <w:rsid w:val="009E09A8"/>
    <w:rsid w:val="009E5194"/>
    <w:rsid w:val="009E525A"/>
    <w:rsid w:val="009E53E0"/>
    <w:rsid w:val="009E72F4"/>
    <w:rsid w:val="009F0E22"/>
    <w:rsid w:val="009F16D0"/>
    <w:rsid w:val="009F5BCD"/>
    <w:rsid w:val="009F6908"/>
    <w:rsid w:val="009F7FF7"/>
    <w:rsid w:val="00A00D8D"/>
    <w:rsid w:val="00A0232D"/>
    <w:rsid w:val="00A035A3"/>
    <w:rsid w:val="00A052EB"/>
    <w:rsid w:val="00A1160E"/>
    <w:rsid w:val="00A12737"/>
    <w:rsid w:val="00A14AB9"/>
    <w:rsid w:val="00A16904"/>
    <w:rsid w:val="00A17704"/>
    <w:rsid w:val="00A247B0"/>
    <w:rsid w:val="00A24D43"/>
    <w:rsid w:val="00A262CB"/>
    <w:rsid w:val="00A26350"/>
    <w:rsid w:val="00A26BA7"/>
    <w:rsid w:val="00A27830"/>
    <w:rsid w:val="00A27D77"/>
    <w:rsid w:val="00A34940"/>
    <w:rsid w:val="00A34A89"/>
    <w:rsid w:val="00A41270"/>
    <w:rsid w:val="00A41495"/>
    <w:rsid w:val="00A41498"/>
    <w:rsid w:val="00A4226D"/>
    <w:rsid w:val="00A42A84"/>
    <w:rsid w:val="00A438BB"/>
    <w:rsid w:val="00A43A19"/>
    <w:rsid w:val="00A43FD2"/>
    <w:rsid w:val="00A44CC8"/>
    <w:rsid w:val="00A46F6A"/>
    <w:rsid w:val="00A477B9"/>
    <w:rsid w:val="00A50D9A"/>
    <w:rsid w:val="00A52332"/>
    <w:rsid w:val="00A5268B"/>
    <w:rsid w:val="00A54A9A"/>
    <w:rsid w:val="00A562DB"/>
    <w:rsid w:val="00A60A08"/>
    <w:rsid w:val="00A62575"/>
    <w:rsid w:val="00A625A7"/>
    <w:rsid w:val="00A64000"/>
    <w:rsid w:val="00A646EC"/>
    <w:rsid w:val="00A64A63"/>
    <w:rsid w:val="00A65894"/>
    <w:rsid w:val="00A65A7D"/>
    <w:rsid w:val="00A6744A"/>
    <w:rsid w:val="00A70DC0"/>
    <w:rsid w:val="00A7444D"/>
    <w:rsid w:val="00A74F6B"/>
    <w:rsid w:val="00A7563D"/>
    <w:rsid w:val="00A765D8"/>
    <w:rsid w:val="00A81A91"/>
    <w:rsid w:val="00A91F27"/>
    <w:rsid w:val="00A92777"/>
    <w:rsid w:val="00A92DD7"/>
    <w:rsid w:val="00A93335"/>
    <w:rsid w:val="00A9355C"/>
    <w:rsid w:val="00A9599C"/>
    <w:rsid w:val="00A9703F"/>
    <w:rsid w:val="00AA01BE"/>
    <w:rsid w:val="00AA1D8F"/>
    <w:rsid w:val="00AA2E1A"/>
    <w:rsid w:val="00AA48AB"/>
    <w:rsid w:val="00AA4F91"/>
    <w:rsid w:val="00AA54F4"/>
    <w:rsid w:val="00AA6366"/>
    <w:rsid w:val="00AB05DB"/>
    <w:rsid w:val="00AB0BA8"/>
    <w:rsid w:val="00AB116C"/>
    <w:rsid w:val="00AB1221"/>
    <w:rsid w:val="00AB1AC9"/>
    <w:rsid w:val="00AB1CA9"/>
    <w:rsid w:val="00AB5F43"/>
    <w:rsid w:val="00AB7088"/>
    <w:rsid w:val="00AB7B50"/>
    <w:rsid w:val="00AC0C5B"/>
    <w:rsid w:val="00AC208B"/>
    <w:rsid w:val="00AC3E3C"/>
    <w:rsid w:val="00AC4E28"/>
    <w:rsid w:val="00AD3382"/>
    <w:rsid w:val="00AD6BA3"/>
    <w:rsid w:val="00AD6F40"/>
    <w:rsid w:val="00AD7C32"/>
    <w:rsid w:val="00AE0775"/>
    <w:rsid w:val="00AE2546"/>
    <w:rsid w:val="00AE3652"/>
    <w:rsid w:val="00AE6093"/>
    <w:rsid w:val="00AE6EE8"/>
    <w:rsid w:val="00AF23A8"/>
    <w:rsid w:val="00AF273C"/>
    <w:rsid w:val="00AF337A"/>
    <w:rsid w:val="00AF34E9"/>
    <w:rsid w:val="00AF38C4"/>
    <w:rsid w:val="00AF4713"/>
    <w:rsid w:val="00AF4F47"/>
    <w:rsid w:val="00AF5AE1"/>
    <w:rsid w:val="00AF611D"/>
    <w:rsid w:val="00AF6D0B"/>
    <w:rsid w:val="00B02049"/>
    <w:rsid w:val="00B02D0B"/>
    <w:rsid w:val="00B035F8"/>
    <w:rsid w:val="00B03845"/>
    <w:rsid w:val="00B043D7"/>
    <w:rsid w:val="00B06CD5"/>
    <w:rsid w:val="00B113CD"/>
    <w:rsid w:val="00B121BF"/>
    <w:rsid w:val="00B137A4"/>
    <w:rsid w:val="00B139AD"/>
    <w:rsid w:val="00B13D01"/>
    <w:rsid w:val="00B1454C"/>
    <w:rsid w:val="00B14EDC"/>
    <w:rsid w:val="00B1641F"/>
    <w:rsid w:val="00B17093"/>
    <w:rsid w:val="00B1749C"/>
    <w:rsid w:val="00B17DE1"/>
    <w:rsid w:val="00B20BE6"/>
    <w:rsid w:val="00B20E11"/>
    <w:rsid w:val="00B22C21"/>
    <w:rsid w:val="00B23258"/>
    <w:rsid w:val="00B25D64"/>
    <w:rsid w:val="00B30D4A"/>
    <w:rsid w:val="00B31C0F"/>
    <w:rsid w:val="00B31FBF"/>
    <w:rsid w:val="00B32144"/>
    <w:rsid w:val="00B33C88"/>
    <w:rsid w:val="00B34999"/>
    <w:rsid w:val="00B353FA"/>
    <w:rsid w:val="00B35A4F"/>
    <w:rsid w:val="00B3687B"/>
    <w:rsid w:val="00B36F92"/>
    <w:rsid w:val="00B373FB"/>
    <w:rsid w:val="00B401A2"/>
    <w:rsid w:val="00B406BE"/>
    <w:rsid w:val="00B4256E"/>
    <w:rsid w:val="00B42A1B"/>
    <w:rsid w:val="00B43FED"/>
    <w:rsid w:val="00B440A3"/>
    <w:rsid w:val="00B45889"/>
    <w:rsid w:val="00B458B6"/>
    <w:rsid w:val="00B46526"/>
    <w:rsid w:val="00B47055"/>
    <w:rsid w:val="00B50235"/>
    <w:rsid w:val="00B50B78"/>
    <w:rsid w:val="00B51D29"/>
    <w:rsid w:val="00B526F0"/>
    <w:rsid w:val="00B532A9"/>
    <w:rsid w:val="00B533D3"/>
    <w:rsid w:val="00B53694"/>
    <w:rsid w:val="00B5395F"/>
    <w:rsid w:val="00B53FD3"/>
    <w:rsid w:val="00B559FD"/>
    <w:rsid w:val="00B564FE"/>
    <w:rsid w:val="00B56A7A"/>
    <w:rsid w:val="00B63A79"/>
    <w:rsid w:val="00B674B9"/>
    <w:rsid w:val="00B72200"/>
    <w:rsid w:val="00B74A48"/>
    <w:rsid w:val="00B75BA6"/>
    <w:rsid w:val="00B76C86"/>
    <w:rsid w:val="00B77764"/>
    <w:rsid w:val="00B77CD4"/>
    <w:rsid w:val="00B81013"/>
    <w:rsid w:val="00B83AC5"/>
    <w:rsid w:val="00B87001"/>
    <w:rsid w:val="00B923A4"/>
    <w:rsid w:val="00B95426"/>
    <w:rsid w:val="00B96BCD"/>
    <w:rsid w:val="00B96C63"/>
    <w:rsid w:val="00B976D2"/>
    <w:rsid w:val="00BA089C"/>
    <w:rsid w:val="00BA13F1"/>
    <w:rsid w:val="00BA2DBA"/>
    <w:rsid w:val="00BA3B42"/>
    <w:rsid w:val="00BA6761"/>
    <w:rsid w:val="00BA69F6"/>
    <w:rsid w:val="00BA724A"/>
    <w:rsid w:val="00BB103E"/>
    <w:rsid w:val="00BB275D"/>
    <w:rsid w:val="00BB4118"/>
    <w:rsid w:val="00BB44F1"/>
    <w:rsid w:val="00BB52F3"/>
    <w:rsid w:val="00BB567B"/>
    <w:rsid w:val="00BB5FBF"/>
    <w:rsid w:val="00BB6883"/>
    <w:rsid w:val="00BB6BED"/>
    <w:rsid w:val="00BB6C66"/>
    <w:rsid w:val="00BB77C4"/>
    <w:rsid w:val="00BB7CD8"/>
    <w:rsid w:val="00BC0776"/>
    <w:rsid w:val="00BC0A73"/>
    <w:rsid w:val="00BC12F3"/>
    <w:rsid w:val="00BC33B3"/>
    <w:rsid w:val="00BC3A48"/>
    <w:rsid w:val="00BC45EB"/>
    <w:rsid w:val="00BC4D37"/>
    <w:rsid w:val="00BC53C3"/>
    <w:rsid w:val="00BC545D"/>
    <w:rsid w:val="00BC6708"/>
    <w:rsid w:val="00BC743E"/>
    <w:rsid w:val="00BD19D2"/>
    <w:rsid w:val="00BD28F9"/>
    <w:rsid w:val="00BD2B61"/>
    <w:rsid w:val="00BD3E77"/>
    <w:rsid w:val="00BE199A"/>
    <w:rsid w:val="00BE25C8"/>
    <w:rsid w:val="00BE3703"/>
    <w:rsid w:val="00BE431D"/>
    <w:rsid w:val="00BE4EDC"/>
    <w:rsid w:val="00BE5470"/>
    <w:rsid w:val="00BE5710"/>
    <w:rsid w:val="00BF0565"/>
    <w:rsid w:val="00BF0899"/>
    <w:rsid w:val="00BF0C1D"/>
    <w:rsid w:val="00BF0CC2"/>
    <w:rsid w:val="00BF1469"/>
    <w:rsid w:val="00BF1702"/>
    <w:rsid w:val="00BF3C39"/>
    <w:rsid w:val="00BF3FDF"/>
    <w:rsid w:val="00BF455F"/>
    <w:rsid w:val="00BF4657"/>
    <w:rsid w:val="00BF478E"/>
    <w:rsid w:val="00BF5FD5"/>
    <w:rsid w:val="00BF6535"/>
    <w:rsid w:val="00BF66DB"/>
    <w:rsid w:val="00BF68D8"/>
    <w:rsid w:val="00C015C2"/>
    <w:rsid w:val="00C01C62"/>
    <w:rsid w:val="00C03167"/>
    <w:rsid w:val="00C03792"/>
    <w:rsid w:val="00C03C48"/>
    <w:rsid w:val="00C05FC6"/>
    <w:rsid w:val="00C0610B"/>
    <w:rsid w:val="00C0629D"/>
    <w:rsid w:val="00C07509"/>
    <w:rsid w:val="00C10490"/>
    <w:rsid w:val="00C112B1"/>
    <w:rsid w:val="00C12670"/>
    <w:rsid w:val="00C12E84"/>
    <w:rsid w:val="00C14ACC"/>
    <w:rsid w:val="00C14B84"/>
    <w:rsid w:val="00C15D8E"/>
    <w:rsid w:val="00C163A0"/>
    <w:rsid w:val="00C175E7"/>
    <w:rsid w:val="00C17ADA"/>
    <w:rsid w:val="00C17DA1"/>
    <w:rsid w:val="00C20A7A"/>
    <w:rsid w:val="00C21C79"/>
    <w:rsid w:val="00C21FE0"/>
    <w:rsid w:val="00C22AA8"/>
    <w:rsid w:val="00C22D7A"/>
    <w:rsid w:val="00C22E06"/>
    <w:rsid w:val="00C27D72"/>
    <w:rsid w:val="00C30BC9"/>
    <w:rsid w:val="00C3439E"/>
    <w:rsid w:val="00C3454F"/>
    <w:rsid w:val="00C35296"/>
    <w:rsid w:val="00C35DD6"/>
    <w:rsid w:val="00C3671A"/>
    <w:rsid w:val="00C36EE3"/>
    <w:rsid w:val="00C372F7"/>
    <w:rsid w:val="00C401D7"/>
    <w:rsid w:val="00C410ED"/>
    <w:rsid w:val="00C46E0A"/>
    <w:rsid w:val="00C51C93"/>
    <w:rsid w:val="00C5322D"/>
    <w:rsid w:val="00C560F7"/>
    <w:rsid w:val="00C566A6"/>
    <w:rsid w:val="00C56CFC"/>
    <w:rsid w:val="00C56E8F"/>
    <w:rsid w:val="00C57285"/>
    <w:rsid w:val="00C61EE5"/>
    <w:rsid w:val="00C63899"/>
    <w:rsid w:val="00C64271"/>
    <w:rsid w:val="00C6470D"/>
    <w:rsid w:val="00C6692C"/>
    <w:rsid w:val="00C66BA2"/>
    <w:rsid w:val="00C7046F"/>
    <w:rsid w:val="00C7074E"/>
    <w:rsid w:val="00C71A47"/>
    <w:rsid w:val="00C72462"/>
    <w:rsid w:val="00C74FAE"/>
    <w:rsid w:val="00C80BC7"/>
    <w:rsid w:val="00C816F1"/>
    <w:rsid w:val="00C83071"/>
    <w:rsid w:val="00C833CA"/>
    <w:rsid w:val="00C844D4"/>
    <w:rsid w:val="00C85D8F"/>
    <w:rsid w:val="00C87C9B"/>
    <w:rsid w:val="00C87F87"/>
    <w:rsid w:val="00C909BA"/>
    <w:rsid w:val="00C9246E"/>
    <w:rsid w:val="00C92A61"/>
    <w:rsid w:val="00C933E1"/>
    <w:rsid w:val="00C943C4"/>
    <w:rsid w:val="00C94BC2"/>
    <w:rsid w:val="00C95F91"/>
    <w:rsid w:val="00C96376"/>
    <w:rsid w:val="00C96B51"/>
    <w:rsid w:val="00C977D7"/>
    <w:rsid w:val="00CA1F46"/>
    <w:rsid w:val="00CA2536"/>
    <w:rsid w:val="00CA35E1"/>
    <w:rsid w:val="00CA3FEB"/>
    <w:rsid w:val="00CA6512"/>
    <w:rsid w:val="00CA6737"/>
    <w:rsid w:val="00CB01D2"/>
    <w:rsid w:val="00CB089F"/>
    <w:rsid w:val="00CB27C8"/>
    <w:rsid w:val="00CB3A73"/>
    <w:rsid w:val="00CB6D5E"/>
    <w:rsid w:val="00CB746A"/>
    <w:rsid w:val="00CB7513"/>
    <w:rsid w:val="00CC049C"/>
    <w:rsid w:val="00CC059E"/>
    <w:rsid w:val="00CC0769"/>
    <w:rsid w:val="00CC2E4F"/>
    <w:rsid w:val="00CC3369"/>
    <w:rsid w:val="00CC63D5"/>
    <w:rsid w:val="00CC6F7D"/>
    <w:rsid w:val="00CC7BD1"/>
    <w:rsid w:val="00CD0F2B"/>
    <w:rsid w:val="00CD31DF"/>
    <w:rsid w:val="00CD5677"/>
    <w:rsid w:val="00CD715D"/>
    <w:rsid w:val="00CD74C5"/>
    <w:rsid w:val="00CE0422"/>
    <w:rsid w:val="00CE1ACD"/>
    <w:rsid w:val="00CE280D"/>
    <w:rsid w:val="00CE2FA0"/>
    <w:rsid w:val="00CE3153"/>
    <w:rsid w:val="00CE372E"/>
    <w:rsid w:val="00CE525E"/>
    <w:rsid w:val="00CE57EF"/>
    <w:rsid w:val="00CE62CD"/>
    <w:rsid w:val="00CE6972"/>
    <w:rsid w:val="00CF07C9"/>
    <w:rsid w:val="00CF0E8A"/>
    <w:rsid w:val="00CF0F46"/>
    <w:rsid w:val="00CF1094"/>
    <w:rsid w:val="00CF13AE"/>
    <w:rsid w:val="00CF3DBE"/>
    <w:rsid w:val="00CF519F"/>
    <w:rsid w:val="00CF6E42"/>
    <w:rsid w:val="00CF6FFE"/>
    <w:rsid w:val="00CF7ABD"/>
    <w:rsid w:val="00D01081"/>
    <w:rsid w:val="00D01294"/>
    <w:rsid w:val="00D03E6B"/>
    <w:rsid w:val="00D043DD"/>
    <w:rsid w:val="00D05004"/>
    <w:rsid w:val="00D05F2D"/>
    <w:rsid w:val="00D06144"/>
    <w:rsid w:val="00D06EE6"/>
    <w:rsid w:val="00D11F87"/>
    <w:rsid w:val="00D124AB"/>
    <w:rsid w:val="00D13D62"/>
    <w:rsid w:val="00D1513B"/>
    <w:rsid w:val="00D15AA7"/>
    <w:rsid w:val="00D15CDB"/>
    <w:rsid w:val="00D1645B"/>
    <w:rsid w:val="00D16CC2"/>
    <w:rsid w:val="00D17EB5"/>
    <w:rsid w:val="00D20974"/>
    <w:rsid w:val="00D20EB2"/>
    <w:rsid w:val="00D21919"/>
    <w:rsid w:val="00D23C66"/>
    <w:rsid w:val="00D24C43"/>
    <w:rsid w:val="00D24C93"/>
    <w:rsid w:val="00D32FC4"/>
    <w:rsid w:val="00D35F4E"/>
    <w:rsid w:val="00D36B78"/>
    <w:rsid w:val="00D40F42"/>
    <w:rsid w:val="00D431BB"/>
    <w:rsid w:val="00D440A4"/>
    <w:rsid w:val="00D4536E"/>
    <w:rsid w:val="00D45AD7"/>
    <w:rsid w:val="00D45DC2"/>
    <w:rsid w:val="00D4676F"/>
    <w:rsid w:val="00D47296"/>
    <w:rsid w:val="00D54680"/>
    <w:rsid w:val="00D551F5"/>
    <w:rsid w:val="00D55E11"/>
    <w:rsid w:val="00D5684A"/>
    <w:rsid w:val="00D5737E"/>
    <w:rsid w:val="00D6191F"/>
    <w:rsid w:val="00D61D9C"/>
    <w:rsid w:val="00D64182"/>
    <w:rsid w:val="00D64AEA"/>
    <w:rsid w:val="00D65530"/>
    <w:rsid w:val="00D743C7"/>
    <w:rsid w:val="00D74795"/>
    <w:rsid w:val="00D759B3"/>
    <w:rsid w:val="00D75AFE"/>
    <w:rsid w:val="00D766F8"/>
    <w:rsid w:val="00D77FAE"/>
    <w:rsid w:val="00D8129F"/>
    <w:rsid w:val="00D81AB5"/>
    <w:rsid w:val="00D81EFF"/>
    <w:rsid w:val="00D82E16"/>
    <w:rsid w:val="00D8325D"/>
    <w:rsid w:val="00D83CE5"/>
    <w:rsid w:val="00D8547A"/>
    <w:rsid w:val="00D85F2D"/>
    <w:rsid w:val="00D87427"/>
    <w:rsid w:val="00D876E7"/>
    <w:rsid w:val="00D90284"/>
    <w:rsid w:val="00D92BA5"/>
    <w:rsid w:val="00D9477F"/>
    <w:rsid w:val="00D94D23"/>
    <w:rsid w:val="00D969EF"/>
    <w:rsid w:val="00D970A1"/>
    <w:rsid w:val="00DA00B2"/>
    <w:rsid w:val="00DA0B34"/>
    <w:rsid w:val="00DA163E"/>
    <w:rsid w:val="00DA1D49"/>
    <w:rsid w:val="00DA2373"/>
    <w:rsid w:val="00DA37DE"/>
    <w:rsid w:val="00DA3C9F"/>
    <w:rsid w:val="00DA5214"/>
    <w:rsid w:val="00DA62E6"/>
    <w:rsid w:val="00DA65FC"/>
    <w:rsid w:val="00DA672D"/>
    <w:rsid w:val="00DB016C"/>
    <w:rsid w:val="00DB0546"/>
    <w:rsid w:val="00DB06C0"/>
    <w:rsid w:val="00DB57BA"/>
    <w:rsid w:val="00DB6847"/>
    <w:rsid w:val="00DB6BDD"/>
    <w:rsid w:val="00DB7F3C"/>
    <w:rsid w:val="00DC207D"/>
    <w:rsid w:val="00DC3683"/>
    <w:rsid w:val="00DC497B"/>
    <w:rsid w:val="00DC7CAC"/>
    <w:rsid w:val="00DD2410"/>
    <w:rsid w:val="00DD4E5E"/>
    <w:rsid w:val="00DD5EB5"/>
    <w:rsid w:val="00DD7E55"/>
    <w:rsid w:val="00DE159A"/>
    <w:rsid w:val="00DE159D"/>
    <w:rsid w:val="00DE2F47"/>
    <w:rsid w:val="00DE43B5"/>
    <w:rsid w:val="00DE6AB7"/>
    <w:rsid w:val="00DE6CDF"/>
    <w:rsid w:val="00DE7464"/>
    <w:rsid w:val="00DF02FB"/>
    <w:rsid w:val="00DF0F82"/>
    <w:rsid w:val="00DF0F98"/>
    <w:rsid w:val="00DF27FE"/>
    <w:rsid w:val="00DF305E"/>
    <w:rsid w:val="00DF3D3D"/>
    <w:rsid w:val="00DF5396"/>
    <w:rsid w:val="00DF5922"/>
    <w:rsid w:val="00DF5D6A"/>
    <w:rsid w:val="00DF65F1"/>
    <w:rsid w:val="00E0135F"/>
    <w:rsid w:val="00E0390F"/>
    <w:rsid w:val="00E0671D"/>
    <w:rsid w:val="00E0694C"/>
    <w:rsid w:val="00E07C57"/>
    <w:rsid w:val="00E1082A"/>
    <w:rsid w:val="00E1126E"/>
    <w:rsid w:val="00E12C06"/>
    <w:rsid w:val="00E1628E"/>
    <w:rsid w:val="00E212DA"/>
    <w:rsid w:val="00E2473C"/>
    <w:rsid w:val="00E25EAC"/>
    <w:rsid w:val="00E265BC"/>
    <w:rsid w:val="00E3024D"/>
    <w:rsid w:val="00E3054F"/>
    <w:rsid w:val="00E3056C"/>
    <w:rsid w:val="00E31DE7"/>
    <w:rsid w:val="00E325F3"/>
    <w:rsid w:val="00E3268F"/>
    <w:rsid w:val="00E34AC6"/>
    <w:rsid w:val="00E37D9E"/>
    <w:rsid w:val="00E404D6"/>
    <w:rsid w:val="00E40A2C"/>
    <w:rsid w:val="00E41345"/>
    <w:rsid w:val="00E416AC"/>
    <w:rsid w:val="00E41B51"/>
    <w:rsid w:val="00E438D8"/>
    <w:rsid w:val="00E45D84"/>
    <w:rsid w:val="00E46AA0"/>
    <w:rsid w:val="00E47F7F"/>
    <w:rsid w:val="00E51EB6"/>
    <w:rsid w:val="00E520A6"/>
    <w:rsid w:val="00E52953"/>
    <w:rsid w:val="00E53956"/>
    <w:rsid w:val="00E53EE6"/>
    <w:rsid w:val="00E56A43"/>
    <w:rsid w:val="00E57D32"/>
    <w:rsid w:val="00E57FBC"/>
    <w:rsid w:val="00E614DB"/>
    <w:rsid w:val="00E65546"/>
    <w:rsid w:val="00E66505"/>
    <w:rsid w:val="00E712C6"/>
    <w:rsid w:val="00E716CF"/>
    <w:rsid w:val="00E717AC"/>
    <w:rsid w:val="00E720C3"/>
    <w:rsid w:val="00E75F8C"/>
    <w:rsid w:val="00E76951"/>
    <w:rsid w:val="00E81BB5"/>
    <w:rsid w:val="00E82B16"/>
    <w:rsid w:val="00E838F5"/>
    <w:rsid w:val="00E8565F"/>
    <w:rsid w:val="00E86AC6"/>
    <w:rsid w:val="00E90C31"/>
    <w:rsid w:val="00E90CEF"/>
    <w:rsid w:val="00E91E77"/>
    <w:rsid w:val="00E92A7E"/>
    <w:rsid w:val="00E953F0"/>
    <w:rsid w:val="00E9767B"/>
    <w:rsid w:val="00E97804"/>
    <w:rsid w:val="00EA0B20"/>
    <w:rsid w:val="00EA1F19"/>
    <w:rsid w:val="00EA3667"/>
    <w:rsid w:val="00EA6BE4"/>
    <w:rsid w:val="00EA6E19"/>
    <w:rsid w:val="00EA6F47"/>
    <w:rsid w:val="00EB05E6"/>
    <w:rsid w:val="00EB181A"/>
    <w:rsid w:val="00EB2388"/>
    <w:rsid w:val="00EB35D2"/>
    <w:rsid w:val="00EB5A1D"/>
    <w:rsid w:val="00EB77C9"/>
    <w:rsid w:val="00EC1028"/>
    <w:rsid w:val="00EC14C6"/>
    <w:rsid w:val="00EC2D9B"/>
    <w:rsid w:val="00EC2DF5"/>
    <w:rsid w:val="00EC346C"/>
    <w:rsid w:val="00EC44DE"/>
    <w:rsid w:val="00EC4FE8"/>
    <w:rsid w:val="00EC5D79"/>
    <w:rsid w:val="00ED1990"/>
    <w:rsid w:val="00ED1E40"/>
    <w:rsid w:val="00ED4F50"/>
    <w:rsid w:val="00ED50C5"/>
    <w:rsid w:val="00ED68B7"/>
    <w:rsid w:val="00EE0C86"/>
    <w:rsid w:val="00EE10A0"/>
    <w:rsid w:val="00EE183E"/>
    <w:rsid w:val="00EE1B87"/>
    <w:rsid w:val="00EE2834"/>
    <w:rsid w:val="00EE55EC"/>
    <w:rsid w:val="00EE6E5C"/>
    <w:rsid w:val="00EE7A05"/>
    <w:rsid w:val="00EF074B"/>
    <w:rsid w:val="00EF30EF"/>
    <w:rsid w:val="00EF48C6"/>
    <w:rsid w:val="00EF5910"/>
    <w:rsid w:val="00EF59CC"/>
    <w:rsid w:val="00EF6919"/>
    <w:rsid w:val="00EF6E5F"/>
    <w:rsid w:val="00EF7E27"/>
    <w:rsid w:val="00F02324"/>
    <w:rsid w:val="00F02C66"/>
    <w:rsid w:val="00F043E7"/>
    <w:rsid w:val="00F04FC6"/>
    <w:rsid w:val="00F054D0"/>
    <w:rsid w:val="00F05A30"/>
    <w:rsid w:val="00F0649F"/>
    <w:rsid w:val="00F10314"/>
    <w:rsid w:val="00F10A31"/>
    <w:rsid w:val="00F11236"/>
    <w:rsid w:val="00F124E1"/>
    <w:rsid w:val="00F136FA"/>
    <w:rsid w:val="00F1371B"/>
    <w:rsid w:val="00F160C8"/>
    <w:rsid w:val="00F16777"/>
    <w:rsid w:val="00F17C03"/>
    <w:rsid w:val="00F17EFE"/>
    <w:rsid w:val="00F2201D"/>
    <w:rsid w:val="00F226DA"/>
    <w:rsid w:val="00F229C6"/>
    <w:rsid w:val="00F22DAC"/>
    <w:rsid w:val="00F257F7"/>
    <w:rsid w:val="00F25817"/>
    <w:rsid w:val="00F25A6A"/>
    <w:rsid w:val="00F33517"/>
    <w:rsid w:val="00F37292"/>
    <w:rsid w:val="00F445B2"/>
    <w:rsid w:val="00F44C43"/>
    <w:rsid w:val="00F45759"/>
    <w:rsid w:val="00F47AAB"/>
    <w:rsid w:val="00F50852"/>
    <w:rsid w:val="00F513D5"/>
    <w:rsid w:val="00F5151B"/>
    <w:rsid w:val="00F51A8E"/>
    <w:rsid w:val="00F51FC0"/>
    <w:rsid w:val="00F524CE"/>
    <w:rsid w:val="00F52C0F"/>
    <w:rsid w:val="00F54A1C"/>
    <w:rsid w:val="00F55890"/>
    <w:rsid w:val="00F57289"/>
    <w:rsid w:val="00F602BD"/>
    <w:rsid w:val="00F6147E"/>
    <w:rsid w:val="00F615CF"/>
    <w:rsid w:val="00F6381F"/>
    <w:rsid w:val="00F64260"/>
    <w:rsid w:val="00F64F05"/>
    <w:rsid w:val="00F66317"/>
    <w:rsid w:val="00F6659C"/>
    <w:rsid w:val="00F66874"/>
    <w:rsid w:val="00F66B10"/>
    <w:rsid w:val="00F678C3"/>
    <w:rsid w:val="00F70A2A"/>
    <w:rsid w:val="00F70AE4"/>
    <w:rsid w:val="00F74DE1"/>
    <w:rsid w:val="00F74E3F"/>
    <w:rsid w:val="00F74EA7"/>
    <w:rsid w:val="00F809EC"/>
    <w:rsid w:val="00F81577"/>
    <w:rsid w:val="00F82311"/>
    <w:rsid w:val="00F82BB8"/>
    <w:rsid w:val="00F85C67"/>
    <w:rsid w:val="00F8616B"/>
    <w:rsid w:val="00F870D1"/>
    <w:rsid w:val="00F8753B"/>
    <w:rsid w:val="00F87860"/>
    <w:rsid w:val="00F87E86"/>
    <w:rsid w:val="00F91B83"/>
    <w:rsid w:val="00F962AD"/>
    <w:rsid w:val="00F9706A"/>
    <w:rsid w:val="00FA1160"/>
    <w:rsid w:val="00FA13C3"/>
    <w:rsid w:val="00FA3F22"/>
    <w:rsid w:val="00FB1DD8"/>
    <w:rsid w:val="00FB2ED0"/>
    <w:rsid w:val="00FB3116"/>
    <w:rsid w:val="00FB3A0D"/>
    <w:rsid w:val="00FB3AEE"/>
    <w:rsid w:val="00FB4B6C"/>
    <w:rsid w:val="00FB4C23"/>
    <w:rsid w:val="00FB5170"/>
    <w:rsid w:val="00FB5387"/>
    <w:rsid w:val="00FB5C46"/>
    <w:rsid w:val="00FB6282"/>
    <w:rsid w:val="00FC0CE4"/>
    <w:rsid w:val="00FC1112"/>
    <w:rsid w:val="00FC1830"/>
    <w:rsid w:val="00FC2BDC"/>
    <w:rsid w:val="00FC3948"/>
    <w:rsid w:val="00FC6A36"/>
    <w:rsid w:val="00FD0343"/>
    <w:rsid w:val="00FD108A"/>
    <w:rsid w:val="00FD1E00"/>
    <w:rsid w:val="00FD2393"/>
    <w:rsid w:val="00FD25D7"/>
    <w:rsid w:val="00FD488D"/>
    <w:rsid w:val="00FD6970"/>
    <w:rsid w:val="00FD6C05"/>
    <w:rsid w:val="00FD71C8"/>
    <w:rsid w:val="00FD72A6"/>
    <w:rsid w:val="00FD763C"/>
    <w:rsid w:val="00FE0426"/>
    <w:rsid w:val="00FE0551"/>
    <w:rsid w:val="00FE11AA"/>
    <w:rsid w:val="00FE38D3"/>
    <w:rsid w:val="00FE714E"/>
    <w:rsid w:val="00FF101D"/>
    <w:rsid w:val="00FF1165"/>
    <w:rsid w:val="00FF3615"/>
    <w:rsid w:val="00FF3FEF"/>
    <w:rsid w:val="00FF49E4"/>
    <w:rsid w:val="00FF51B9"/>
    <w:rsid w:val="00FF58F9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6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43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9085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semiHidden/>
    <w:locked/>
    <w:rsid w:val="00490854"/>
    <w:rPr>
      <w:rFonts w:ascii="Tahoma" w:hAnsi="Tahoma" w:cs="Tahoma"/>
      <w:sz w:val="16"/>
      <w:szCs w:val="16"/>
    </w:rPr>
  </w:style>
  <w:style w:type="paragraph" w:customStyle="1" w:styleId="21">
    <w:name w:val="Знак2 Знак Знак Знак Знак Знак Знак1"/>
    <w:basedOn w:val="a"/>
    <w:rsid w:val="00C20A7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">
    <w:name w:val="Знак2 Знак Знак Знак"/>
    <w:basedOn w:val="a"/>
    <w:rsid w:val="00553A1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 Знак Знак Знак1 Знак Знак Знак"/>
    <w:basedOn w:val="a"/>
    <w:rsid w:val="00307625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11">
    <w:name w:val="Знак2 Знак Знак Знак Знак Знак Знак11"/>
    <w:basedOn w:val="a"/>
    <w:rsid w:val="00C6389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1">
    <w:name w:val="Знак3 Знак Знак Знак1 Знак Знак Знак1"/>
    <w:basedOn w:val="a"/>
    <w:rsid w:val="00C63899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6">
    <w:name w:val="Знак3 Знак Знак Знак1 Знак Знак Знак6"/>
    <w:basedOn w:val="a"/>
    <w:rsid w:val="00990C51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5">
    <w:name w:val="Знак3 Знак Знак Знак1 Знак Знак Знак5"/>
    <w:basedOn w:val="a"/>
    <w:rsid w:val="00C05FC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4">
    <w:name w:val="Знак3 Знак Знак Знак1 Знак Знак Знак4"/>
    <w:basedOn w:val="a"/>
    <w:rsid w:val="006E2A0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5">
    <w:name w:val="Title"/>
    <w:basedOn w:val="a"/>
    <w:link w:val="a6"/>
    <w:qFormat/>
    <w:locked/>
    <w:rsid w:val="006E2A07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6"/>
      <w:lang w:val="en-US" w:eastAsia="ru-RU"/>
    </w:rPr>
  </w:style>
  <w:style w:type="character" w:customStyle="1" w:styleId="a6">
    <w:name w:val="Название Знак"/>
    <w:link w:val="a5"/>
    <w:locked/>
    <w:rsid w:val="006E2A07"/>
    <w:rPr>
      <w:rFonts w:ascii="Arial" w:hAnsi="Arial" w:cs="Arial"/>
      <w:b/>
      <w:bCs/>
      <w:sz w:val="26"/>
      <w:szCs w:val="26"/>
      <w:lang w:val="en-US"/>
    </w:rPr>
  </w:style>
  <w:style w:type="paragraph" w:customStyle="1" w:styleId="313">
    <w:name w:val="Знак3 Знак Знак Знак1 Знак Знак Знак3"/>
    <w:basedOn w:val="a"/>
    <w:rsid w:val="0023240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7">
    <w:name w:val="Body Text Indent"/>
    <w:basedOn w:val="a"/>
    <w:link w:val="a8"/>
    <w:rsid w:val="00352F2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locked/>
    <w:rsid w:val="00352F2B"/>
    <w:rPr>
      <w:rFonts w:ascii="Times New Roman" w:hAnsi="Times New Roman" w:cs="Times New Roman"/>
      <w:sz w:val="24"/>
      <w:szCs w:val="24"/>
    </w:rPr>
  </w:style>
  <w:style w:type="paragraph" w:customStyle="1" w:styleId="312">
    <w:name w:val="Знак3 Знак Знак Знак1 Знак Знак Знак2"/>
    <w:basedOn w:val="a"/>
    <w:rsid w:val="00F615C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locked/>
    <w:rsid w:val="0095378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D81A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55DB7"/>
    <w:rPr>
      <w:rFonts w:cs="Calibri"/>
      <w:lang w:eastAsia="en-US"/>
    </w:rPr>
  </w:style>
  <w:style w:type="character" w:styleId="ac">
    <w:name w:val="page number"/>
    <w:rsid w:val="00D81AB5"/>
    <w:rPr>
      <w:rFonts w:cs="Times New Roman"/>
    </w:rPr>
  </w:style>
  <w:style w:type="paragraph" w:styleId="ad">
    <w:name w:val="header"/>
    <w:basedOn w:val="a"/>
    <w:rsid w:val="004837E6"/>
    <w:pPr>
      <w:tabs>
        <w:tab w:val="center" w:pos="4677"/>
        <w:tab w:val="right" w:pos="9355"/>
      </w:tabs>
    </w:pPr>
  </w:style>
  <w:style w:type="paragraph" w:styleId="ae">
    <w:name w:val="List Paragraph"/>
    <w:basedOn w:val="a"/>
    <w:link w:val="af"/>
    <w:uiPriority w:val="34"/>
    <w:qFormat/>
    <w:rsid w:val="004A24B8"/>
    <w:pPr>
      <w:ind w:left="720"/>
      <w:contextualSpacing/>
    </w:pPr>
    <w:rPr>
      <w:rFonts w:cs="Times New Roman"/>
    </w:rPr>
  </w:style>
  <w:style w:type="character" w:customStyle="1" w:styleId="af">
    <w:name w:val="Абзац списка Знак"/>
    <w:link w:val="ae"/>
    <w:uiPriority w:val="34"/>
    <w:rsid w:val="004A24B8"/>
    <w:rPr>
      <w:rFonts w:eastAsia="Times New Roman"/>
      <w:sz w:val="22"/>
      <w:szCs w:val="22"/>
      <w:lang w:eastAsia="en-US"/>
    </w:rPr>
  </w:style>
  <w:style w:type="table" w:styleId="af0">
    <w:name w:val="Table Elegant"/>
    <w:basedOn w:val="a1"/>
    <w:rsid w:val="00241D4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241D4F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241D4F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241D4F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No Spacing"/>
    <w:link w:val="af2"/>
    <w:uiPriority w:val="99"/>
    <w:qFormat/>
    <w:rsid w:val="00724288"/>
    <w:rPr>
      <w:rFonts w:eastAsia="Times New Roman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724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4288"/>
    <w:rPr>
      <w:rFonts w:ascii="Courier New" w:eastAsia="Times New Roman" w:hAnsi="Courier New"/>
    </w:rPr>
  </w:style>
  <w:style w:type="paragraph" w:customStyle="1" w:styleId="ConsPlusNormal">
    <w:name w:val="ConsPlusNormal"/>
    <w:link w:val="ConsPlusNormal0"/>
    <w:rsid w:val="002B7C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harStyle8">
    <w:name w:val="Char Style 8"/>
    <w:rsid w:val="00A44CC8"/>
    <w:rPr>
      <w:b/>
      <w:bCs/>
      <w:sz w:val="27"/>
      <w:szCs w:val="27"/>
      <w:lang w:eastAsia="ar-SA" w:bidi="ar-SA"/>
    </w:rPr>
  </w:style>
  <w:style w:type="paragraph" w:styleId="af3">
    <w:name w:val="footnote text"/>
    <w:basedOn w:val="a"/>
    <w:link w:val="af4"/>
    <w:rsid w:val="002C601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2C601B"/>
    <w:rPr>
      <w:rFonts w:ascii="Times New Roman" w:eastAsia="Times New Roman" w:hAnsi="Times New Roman"/>
    </w:rPr>
  </w:style>
  <w:style w:type="character" w:styleId="af5">
    <w:name w:val="footnote reference"/>
    <w:rsid w:val="002C601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C059E"/>
    <w:rPr>
      <w:rFonts w:ascii="Arial" w:eastAsia="Times New Roman" w:hAnsi="Arial" w:cs="Arial"/>
    </w:rPr>
  </w:style>
  <w:style w:type="paragraph" w:styleId="20">
    <w:name w:val="Body Text Indent 2"/>
    <w:basedOn w:val="a"/>
    <w:link w:val="22"/>
    <w:semiHidden/>
    <w:unhideWhenUsed/>
    <w:rsid w:val="005F79A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5F79A6"/>
    <w:rPr>
      <w:rFonts w:eastAsia="Times New Roman" w:cs="Calibri"/>
      <w:sz w:val="22"/>
      <w:szCs w:val="22"/>
      <w:lang w:eastAsia="en-US"/>
    </w:rPr>
  </w:style>
  <w:style w:type="character" w:styleId="af6">
    <w:name w:val="annotation reference"/>
    <w:basedOn w:val="a0"/>
    <w:semiHidden/>
    <w:unhideWhenUsed/>
    <w:rsid w:val="005F79A6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5F79A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5F79A6"/>
    <w:rPr>
      <w:rFonts w:eastAsia="Times New Roman" w:cs="Calibri"/>
      <w:lang w:eastAsia="en-US"/>
    </w:rPr>
  </w:style>
  <w:style w:type="character" w:customStyle="1" w:styleId="af2">
    <w:name w:val="Без интервала Знак"/>
    <w:basedOn w:val="a0"/>
    <w:link w:val="af1"/>
    <w:uiPriority w:val="99"/>
    <w:rsid w:val="00990F27"/>
    <w:rPr>
      <w:rFonts w:eastAsia="Times New Roman" w:cs="Calibri"/>
      <w:sz w:val="22"/>
      <w:szCs w:val="22"/>
      <w:lang w:eastAsia="en-US"/>
    </w:rPr>
  </w:style>
  <w:style w:type="paragraph" w:customStyle="1" w:styleId="4">
    <w:name w:val="Знак Знак4 Знак Знак Знак Знак"/>
    <w:basedOn w:val="a"/>
    <w:uiPriority w:val="99"/>
    <w:rsid w:val="00F22DAC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9">
    <w:name w:val="Normal (Web)"/>
    <w:basedOn w:val="a"/>
    <w:link w:val="afa"/>
    <w:uiPriority w:val="99"/>
    <w:rsid w:val="00F22D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1840"/>
  </w:style>
  <w:style w:type="character" w:customStyle="1" w:styleId="txt">
    <w:name w:val="txt"/>
    <w:basedOn w:val="a0"/>
    <w:rsid w:val="005B523D"/>
  </w:style>
  <w:style w:type="paragraph" w:customStyle="1" w:styleId="ConsPlusTitle">
    <w:name w:val="ConsPlusTitle"/>
    <w:uiPriority w:val="99"/>
    <w:rsid w:val="003152D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D431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11">
    <w:name w:val="toc 1"/>
    <w:basedOn w:val="a"/>
    <w:next w:val="a"/>
    <w:autoRedefine/>
    <w:uiPriority w:val="39"/>
    <w:unhideWhenUsed/>
    <w:locked/>
    <w:rsid w:val="00D90284"/>
    <w:pPr>
      <w:tabs>
        <w:tab w:val="right" w:leader="dot" w:pos="10195"/>
      </w:tabs>
      <w:spacing w:after="100"/>
    </w:pPr>
    <w:rPr>
      <w:rFonts w:ascii="Times New Roman" w:hAnsi="Times New Roman" w:cs="Times New Roman"/>
      <w:bCs/>
      <w:i/>
      <w:noProof/>
      <w:sz w:val="26"/>
      <w:szCs w:val="26"/>
    </w:rPr>
  </w:style>
  <w:style w:type="character" w:styleId="afb">
    <w:name w:val="Hyperlink"/>
    <w:basedOn w:val="a0"/>
    <w:uiPriority w:val="99"/>
    <w:unhideWhenUsed/>
    <w:rsid w:val="00D431BB"/>
    <w:rPr>
      <w:color w:val="0000FF" w:themeColor="hyperlink"/>
      <w:u w:val="single"/>
    </w:rPr>
  </w:style>
  <w:style w:type="paragraph" w:styleId="afc">
    <w:name w:val="TOC Heading"/>
    <w:basedOn w:val="1"/>
    <w:next w:val="a"/>
    <w:uiPriority w:val="39"/>
    <w:unhideWhenUsed/>
    <w:qFormat/>
    <w:rsid w:val="00D4536E"/>
    <w:pPr>
      <w:spacing w:line="259" w:lineRule="auto"/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locked/>
    <w:rsid w:val="00D4536E"/>
    <w:pPr>
      <w:spacing w:after="100" w:line="259" w:lineRule="auto"/>
      <w:ind w:left="220"/>
    </w:pPr>
    <w:rPr>
      <w:rFonts w:asciiTheme="minorHAnsi" w:eastAsiaTheme="minorEastAsia" w:hAnsiTheme="minorHAnsi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locked/>
    <w:rsid w:val="00D4536E"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ru-RU"/>
    </w:rPr>
  </w:style>
  <w:style w:type="character" w:customStyle="1" w:styleId="afa">
    <w:name w:val="Обычный (веб) Знак"/>
    <w:basedOn w:val="a0"/>
    <w:link w:val="af9"/>
    <w:uiPriority w:val="99"/>
    <w:rsid w:val="00E717AC"/>
    <w:rPr>
      <w:rFonts w:ascii="Times New Roman" w:eastAsia="Times New Roman" w:hAnsi="Times New Roman"/>
      <w:sz w:val="24"/>
      <w:szCs w:val="24"/>
    </w:rPr>
  </w:style>
  <w:style w:type="paragraph" w:styleId="afd">
    <w:name w:val="annotation subject"/>
    <w:basedOn w:val="af7"/>
    <w:next w:val="af7"/>
    <w:link w:val="afe"/>
    <w:semiHidden/>
    <w:unhideWhenUsed/>
    <w:rsid w:val="0015117A"/>
    <w:rPr>
      <w:b/>
      <w:bCs/>
    </w:rPr>
  </w:style>
  <w:style w:type="character" w:customStyle="1" w:styleId="afe">
    <w:name w:val="Тема примечания Знак"/>
    <w:basedOn w:val="af8"/>
    <w:link w:val="afd"/>
    <w:semiHidden/>
    <w:rsid w:val="0015117A"/>
    <w:rPr>
      <w:rFonts w:eastAsia="Times New Roman" w:cs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footnotes" Target="footnotes.xml"/><Relationship Id="rId12" Type="http://schemas.openxmlformats.org/officeDocument/2006/relationships/hyperlink" Target="http://admkogalym.ru/economics/formirovanie%20usloviy/" TargetMode="Externa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9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2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3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9.3912321992615122E-2"/>
          <c:y val="5.0332245054734222E-2"/>
          <c:w val="0.61448621739184062"/>
          <c:h val="0.85490780529405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solidFill>
              <a:srgbClr val="0000CC"/>
            </a:solidFill>
          </c:spPr>
          <c:invertIfNegative val="0"/>
          <c:dLbls>
            <c:dLbl>
              <c:idx val="0"/>
              <c:layout>
                <c:manualLayout>
                  <c:x val="-6.2597809076682331E-2"/>
                  <c:y val="8.0332815540914551E-2"/>
                </c:manualLayout>
              </c:layout>
              <c:tx>
                <c:rich>
                  <a:bodyPr rot="-5400000" vert="horz"/>
                  <a:lstStyle/>
                  <a:p>
                    <a:pPr>
                      <a:defRPr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200" b="1"/>
                      <a:t>9 557,8</a:t>
                    </a:r>
                    <a:r>
                      <a:rPr lang="en-US" sz="1200" b="1"/>
                      <a:t>; </a:t>
                    </a:r>
                    <a:r>
                      <a:rPr lang="ru-RU" sz="1200" b="1"/>
                      <a:t>33,98</a:t>
                    </a:r>
                    <a:r>
                      <a:rPr lang="en-US" sz="1200" b="1"/>
                      <a:t>%</a:t>
                    </a:r>
                    <a:endParaRPr lang="en-US"/>
                  </a:p>
                </c:rich>
              </c:tx>
              <c:numFmt formatCode="#,##0.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6C-48CD-AB69-FB66556F484B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#,##0.0</c:formatCode>
                <c:ptCount val="1"/>
                <c:pt idx="0">
                  <c:v>9557.82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6C-48CD-AB69-FB66556F48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solidFill>
              <a:srgbClr val="CC00FF"/>
            </a:solidFill>
          </c:spPr>
          <c:invertIfNegative val="0"/>
          <c:dLbls>
            <c:dLbl>
              <c:idx val="0"/>
              <c:layout>
                <c:manualLayout>
                  <c:x val="-5.0078411560057316E-2"/>
                  <c:y val="-2.4229471316085487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/>
                      <a:t>9 662,8</a:t>
                    </a:r>
                    <a:r>
                      <a:rPr lang="en-US" sz="1200" b="1"/>
                      <a:t>; </a:t>
                    </a:r>
                    <a:r>
                      <a:rPr lang="ru-RU" sz="1200" b="1"/>
                      <a:t>33,34</a:t>
                    </a:r>
                    <a:r>
                      <a:rPr lang="en-US" sz="1200" b="1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96C-48CD-AB69-FB66556F48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#,##0.0</c:formatCode>
                <c:ptCount val="1"/>
                <c:pt idx="0">
                  <c:v>9662.76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96C-48CD-AB69-FB66556F484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Производство и распределение электроэнергии, газа и воды</c:v>
                </c:pt>
              </c:strCache>
            </c:strRef>
          </c:tx>
          <c:spPr>
            <a:solidFill>
              <a:srgbClr val="66CCFF"/>
            </a:solidFill>
          </c:spPr>
          <c:invertIfNegative val="0"/>
          <c:dLbls>
            <c:dLbl>
              <c:idx val="0"/>
              <c:layout>
                <c:manualLayout>
                  <c:x val="9.8069900886802674E-2"/>
                  <c:y val="0.26469762708232875"/>
                </c:manualLayout>
              </c:layout>
              <c:tx>
                <c:rich>
                  <a:bodyPr/>
                  <a:lstStyle/>
                  <a:p>
                    <a:r>
                      <a:rPr lang="ru-RU" sz="1200" b="1"/>
                      <a:t>9 757,9</a:t>
                    </a:r>
                    <a:r>
                      <a:rPr lang="en-US" sz="1200" b="1"/>
                      <a:t>; </a:t>
                    </a:r>
                    <a:r>
                      <a:rPr lang="ru-RU" sz="1200" b="1"/>
                      <a:t>33,68</a:t>
                    </a:r>
                    <a:r>
                      <a:rPr lang="en-US" sz="1200" b="1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6C-48CD-AB69-FB66556F48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#,##0.0</c:formatCode>
                <c:ptCount val="1"/>
                <c:pt idx="0">
                  <c:v>9757.91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96C-48CD-AB69-FB66556F48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6617216"/>
        <c:axId val="116618752"/>
        <c:axId val="0"/>
      </c:bar3DChart>
      <c:catAx>
        <c:axId val="11661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6618752"/>
        <c:crosses val="autoZero"/>
        <c:auto val="1"/>
        <c:lblAlgn val="ctr"/>
        <c:lblOffset val="100"/>
        <c:noMultiLvlLbl val="0"/>
      </c:catAx>
      <c:valAx>
        <c:axId val="11661875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6617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221700573813255"/>
          <c:y val="6.4331988989181535E-2"/>
          <c:w val="0.23526343244653186"/>
          <c:h val="0.92424826207069133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субъектов малого и среднего предпринимательства, включая микропредприятия,</a:t>
            </a:r>
            <a:r>
              <a:rPr lang="ru-RU" sz="13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единиц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4434784193642606E-2"/>
          <c:y val="0.20714285714285721"/>
          <c:w val="0.90010225284339462"/>
          <c:h val="0.618027746531684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индивидуальные предпринимаьели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4.19947506561679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E4-4AC4-87FD-F145771BD6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6"/>
                <c:pt idx="0">
                  <c:v>2015 год-отчет</c:v>
                </c:pt>
                <c:pt idx="1">
                  <c:v>2016 год-отчет </c:v>
                </c:pt>
                <c:pt idx="2">
                  <c:v>2017 год-оценка </c:v>
                </c:pt>
                <c:pt idx="3">
                  <c:v>2018 год-прогноз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6"/>
                <c:pt idx="0">
                  <c:v>1487</c:v>
                </c:pt>
                <c:pt idx="1">
                  <c:v>1498</c:v>
                </c:pt>
                <c:pt idx="2">
                  <c:v>1499</c:v>
                </c:pt>
                <c:pt idx="3">
                  <c:v>1503</c:v>
                </c:pt>
                <c:pt idx="4">
                  <c:v>1508</c:v>
                </c:pt>
                <c:pt idx="5">
                  <c:v>1510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E4-4AC4-87FD-F145771BD6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малые и средние предприятия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3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6"/>
                <c:pt idx="0">
                  <c:v>2015 год-отчет</c:v>
                </c:pt>
                <c:pt idx="1">
                  <c:v>2016 год-отчет </c:v>
                </c:pt>
                <c:pt idx="2">
                  <c:v>2017 год-оценка </c:v>
                </c:pt>
                <c:pt idx="3">
                  <c:v>2018 год-прогноз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6"/>
                <c:pt idx="0">
                  <c:v>499</c:v>
                </c:pt>
                <c:pt idx="1">
                  <c:v>498</c:v>
                </c:pt>
                <c:pt idx="2">
                  <c:v>501</c:v>
                </c:pt>
                <c:pt idx="3">
                  <c:v>503</c:v>
                </c:pt>
                <c:pt idx="4">
                  <c:v>506</c:v>
                </c:pt>
                <c:pt idx="5">
                  <c:v>510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CE4-4AC4-87FD-F145771BD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7805824"/>
        <c:axId val="117807360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</c:v>
                </c:pt>
              </c:strCache>
            </c:strRef>
          </c:tx>
          <c:spPr>
            <a:ln w="38100" cap="rnd">
              <a:solidFill>
                <a:schemeClr val="tx2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chemeClr val="tx2">
                  <a:lumMod val="60000"/>
                  <a:lumOff val="40000"/>
                </a:schemeClr>
              </a:solidFill>
              <a:ln w="9525" cap="rnd">
                <a:solidFill>
                  <a:schemeClr val="accent3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296296296296419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E4-4AC4-87FD-F145771BD653}"/>
                </c:ext>
              </c:extLst>
            </c:dLbl>
            <c:dLbl>
              <c:idx val="1"/>
              <c:layout>
                <c:manualLayout>
                  <c:x val="-4.6296296296296439E-2"/>
                  <c:y val="-3.5714285714285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CE4-4AC4-87FD-F145771BD653}"/>
                </c:ext>
              </c:extLst>
            </c:dLbl>
            <c:dLbl>
              <c:idx val="2"/>
              <c:layout>
                <c:manualLayout>
                  <c:x val="-4.6296296296296474E-2"/>
                  <c:y val="-3.9682539682539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E4-4AC4-87FD-F145771BD653}"/>
                </c:ext>
              </c:extLst>
            </c:dLbl>
            <c:dLbl>
              <c:idx val="3"/>
              <c:layout>
                <c:manualLayout>
                  <c:x val="-5.0925925925926117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CE4-4AC4-87FD-F145771BD653}"/>
                </c:ext>
              </c:extLst>
            </c:dLbl>
            <c:dLbl>
              <c:idx val="4"/>
              <c:layout>
                <c:manualLayout>
                  <c:x val="-4.6296296296296398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E4-4AC4-87FD-F145771BD653}"/>
                </c:ext>
              </c:extLst>
            </c:dLbl>
            <c:dLbl>
              <c:idx val="5"/>
              <c:layout>
                <c:manualLayout>
                  <c:x val="-4.2016806722689079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CE4-4AC4-87FD-F145771BD6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6"/>
                <c:pt idx="0">
                  <c:v>2015 год-отчет</c:v>
                </c:pt>
                <c:pt idx="1">
                  <c:v>2016 год-отчет </c:v>
                </c:pt>
                <c:pt idx="2">
                  <c:v>2017 год-оценка </c:v>
                </c:pt>
                <c:pt idx="3">
                  <c:v>2018 год-прогноз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6"/>
                <c:pt idx="0">
                  <c:v>1986</c:v>
                </c:pt>
                <c:pt idx="1">
                  <c:v>1996</c:v>
                </c:pt>
                <c:pt idx="2">
                  <c:v>2000</c:v>
                </c:pt>
                <c:pt idx="3">
                  <c:v>2006</c:v>
                </c:pt>
                <c:pt idx="4">
                  <c:v>2014</c:v>
                </c:pt>
                <c:pt idx="5">
                  <c:v>2020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BCE4-4AC4-87FD-F145771BD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805824"/>
        <c:axId val="117807360"/>
      </c:lineChart>
      <c:catAx>
        <c:axId val="11780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7807360"/>
        <c:crosses val="autoZero"/>
        <c:auto val="1"/>
        <c:lblAlgn val="ctr"/>
        <c:lblOffset val="100"/>
        <c:noMultiLvlLbl val="0"/>
      </c:catAx>
      <c:valAx>
        <c:axId val="117807360"/>
        <c:scaling>
          <c:orientation val="minMax"/>
          <c:max val="2200"/>
          <c:min val="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7805824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Распределение малых и средних предприятий, включая микропредприятия по видам экономической деятельности</a:t>
            </a:r>
          </a:p>
        </c:rich>
      </c:tx>
      <c:layout>
        <c:manualLayout>
          <c:xMode val="edge"/>
          <c:yMode val="edge"/>
          <c:x val="9.312400268496332E-2"/>
          <c:y val="2.8368794326241127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малых и средних предприятий по видам экономической деятельности в 2016 году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rgbClr val="0000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96-47FE-B56D-2079C45BFD74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96-47FE-B56D-2079C45BFD74}"/>
              </c:ext>
            </c:extLst>
          </c:dPt>
          <c:dPt>
            <c:idx val="2"/>
            <c:bubble3D val="0"/>
            <c:spPr>
              <a:solidFill>
                <a:srgbClr val="66FF33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F96-47FE-B56D-2079C45BFD74}"/>
              </c:ext>
            </c:extLst>
          </c:dPt>
          <c:dPt>
            <c:idx val="3"/>
            <c:bubble3D val="0"/>
            <c:spPr>
              <a:solidFill>
                <a:srgbClr val="FF99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F96-47FE-B56D-2079C45BFD74}"/>
              </c:ext>
            </c:extLst>
          </c:dPt>
          <c:dPt>
            <c:idx val="4"/>
            <c:bubble3D val="0"/>
            <c:spPr>
              <a:solidFill>
                <a:srgbClr val="FF00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F96-47FE-B56D-2079C45BFD74}"/>
              </c:ext>
            </c:extLst>
          </c:dPt>
          <c:dPt>
            <c:idx val="5"/>
            <c:bubble3D val="0"/>
            <c:spPr>
              <a:solidFill>
                <a:srgbClr val="33CCCC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F96-47FE-B56D-2079C45BFD74}"/>
              </c:ext>
            </c:extLst>
          </c:dPt>
          <c:dLbls>
            <c:dLbl>
              <c:idx val="0"/>
              <c:layout>
                <c:manualLayout>
                  <c:x val="-6.4936714457400527E-2"/>
                  <c:y val="-5.517497812773401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96-47FE-B56D-2079C45BFD74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Промышленное производство (6,2%)</c:v>
                </c:pt>
                <c:pt idx="1">
                  <c:v>Оптовая и розничная торговля, ремонт автотранспортных средств (24,0%)</c:v>
                </c:pt>
                <c:pt idx="2">
                  <c:v>Транспорт и связь (13%)</c:v>
                </c:pt>
                <c:pt idx="3">
                  <c:v>Операции с недвижимым имуществом (7%)</c:v>
                </c:pt>
                <c:pt idx="4">
                  <c:v>Строительство (10%)</c:v>
                </c:pt>
                <c:pt idx="5">
                  <c:v>Прочие виды деятельности (40,5%)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6.2000000000000034E-2</c:v>
                </c:pt>
                <c:pt idx="1">
                  <c:v>0.23</c:v>
                </c:pt>
                <c:pt idx="2">
                  <c:v>0.13</c:v>
                </c:pt>
                <c:pt idx="3">
                  <c:v>7.0000000000000021E-2</c:v>
                </c:pt>
                <c:pt idx="4">
                  <c:v>0.1</c:v>
                </c:pt>
                <c:pt idx="5">
                  <c:v>0.40500000000000008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F96-47FE-B56D-2079C45BFD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Промышленное производство (6,2%)</c:v>
                </c:pt>
                <c:pt idx="1">
                  <c:v>Оптовая и розничная торговля, ремонт автотранспортных средств (24,0%)</c:v>
                </c:pt>
                <c:pt idx="2">
                  <c:v>Транспорт и связь (13%)</c:v>
                </c:pt>
                <c:pt idx="3">
                  <c:v>Операции с недвижимым имуществом (7%)</c:v>
                </c:pt>
                <c:pt idx="4">
                  <c:v>Строительство (10%)</c:v>
                </c:pt>
                <c:pt idx="5">
                  <c:v>Прочие виды деятельности (40,5%)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31</c:v>
                </c:pt>
                <c:pt idx="1">
                  <c:v>115</c:v>
                </c:pt>
                <c:pt idx="2">
                  <c:v>65</c:v>
                </c:pt>
                <c:pt idx="3">
                  <c:v>35</c:v>
                </c:pt>
                <c:pt idx="4">
                  <c:v>50</c:v>
                </c:pt>
                <c:pt idx="5">
                  <c:v>202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Промышленное производство (6,2%)</c:v>
                </c:pt>
                <c:pt idx="1">
                  <c:v>Оптовая и розничная торговля, ремонт автотранспортных средств (24,0%)</c:v>
                </c:pt>
                <c:pt idx="2">
                  <c:v>Транспорт и связь (13%)</c:v>
                </c:pt>
                <c:pt idx="3">
                  <c:v>Операции с недвижимым имуществом (7%)</c:v>
                </c:pt>
                <c:pt idx="4">
                  <c:v>Строительство (10%)</c:v>
                </c:pt>
                <c:pt idx="5">
                  <c:v>Прочие виды деятельности (40,5%)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6.2124248496993868</c:v>
                </c:pt>
                <c:pt idx="1">
                  <c:v>23.046092184368703</c:v>
                </c:pt>
                <c:pt idx="2">
                  <c:v>13.026052104208416</c:v>
                </c:pt>
                <c:pt idx="3">
                  <c:v>7.0140280561122248</c:v>
                </c:pt>
                <c:pt idx="4">
                  <c:v>10.020040080160321</c:v>
                </c:pt>
                <c:pt idx="5">
                  <c:v>40.480961923847588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Численность работающих на малых и средних предприятиях,              включая микропредприятия (человек)</a:t>
            </a:r>
          </a:p>
        </c:rich>
      </c:tx>
      <c:layout>
        <c:manualLayout>
          <c:xMode val="edge"/>
          <c:yMode val="edge"/>
          <c:x val="0.14536627532336904"/>
          <c:y val="5.5938603529481171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295681063122924"/>
          <c:y val="0.12760416666666666"/>
          <c:w val="0.79734219269102991"/>
          <c:h val="0.598958333333333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численность работающих на малых и средних предприятиях, включая микропредприятия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4.7949279518868057E-2"/>
                  <c:y val="0.1118450121792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7852114512175963E-2"/>
                  <c:y val="0.12630309700496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7916949123081524E-2"/>
                  <c:y val="0.11899852446501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9994785420034424E-2"/>
                  <c:y val="9.14410878496301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9929950809128994E-2"/>
                  <c:y val="9.1591878353335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7852093529092019E-2"/>
                  <c:y val="7.0886075949367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6"/>
                <c:pt idx="0">
                  <c:v>2015 год-отчет</c:v>
                </c:pt>
                <c:pt idx="1">
                  <c:v>2016 год-отчет </c:v>
                </c:pt>
                <c:pt idx="2">
                  <c:v>2017 год - оценка </c:v>
                </c:pt>
                <c:pt idx="3">
                  <c:v>2018 год-прогноз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6"/>
                <c:pt idx="0">
                  <c:v>5621</c:v>
                </c:pt>
                <c:pt idx="1">
                  <c:v>5080</c:v>
                </c:pt>
                <c:pt idx="2">
                  <c:v>5175</c:v>
                </c:pt>
                <c:pt idx="3">
                  <c:v>5181</c:v>
                </c:pt>
                <c:pt idx="4">
                  <c:v>5393</c:v>
                </c:pt>
                <c:pt idx="5">
                  <c:v>5533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4C5-4FC9-8AC4-7160A1B5ECB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830022075055166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225165562913378E-3"/>
                  <c:y val="-1.256123435940317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1501103752758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03752759381901E-2"/>
                  <c:y val="-6.280617179701596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1037527593819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622516556291377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6"/>
                <c:pt idx="0">
                  <c:v>2015 год-отчет</c:v>
                </c:pt>
                <c:pt idx="1">
                  <c:v>2016 год-отчет </c:v>
                </c:pt>
                <c:pt idx="2">
                  <c:v>2017 год - оценка </c:v>
                </c:pt>
                <c:pt idx="3">
                  <c:v>2018 год-прогноз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C4C5-4FC9-8AC4-7160A1B5E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234048"/>
        <c:axId val="117191808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доля работающих в малом и среднем бизнесе в общей численности занятых в экономике</c:v>
                </c:pt>
              </c:strCache>
            </c:strRef>
          </c:tx>
          <c:spPr>
            <a:ln w="44450" cap="sq">
              <a:solidFill>
                <a:srgbClr val="0070C0"/>
              </a:solidFill>
            </a:ln>
          </c:spPr>
          <c:marker>
            <c:symbol val="circle"/>
            <c:size val="9"/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</c:marker>
          <c:dLbls>
            <c:dLbl>
              <c:idx val="0"/>
              <c:layout>
                <c:manualLayout>
                  <c:x val="-1.7976569154021311E-2"/>
                  <c:y val="-3.77011326821558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315377796318503E-2"/>
                  <c:y val="-4.1829123877500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199040517286339E-2"/>
                  <c:y val="-4.9816165065697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5782795362500217E-2"/>
                  <c:y val="-3.7770728299250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625087239298987E-2"/>
                  <c:y val="-3.35003820724941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8727569331158302E-2"/>
                  <c:y val="-3.7130801687763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6"/>
                <c:pt idx="0">
                  <c:v>2015 год-отчет</c:v>
                </c:pt>
                <c:pt idx="1">
                  <c:v>2016 год-отчет </c:v>
                </c:pt>
                <c:pt idx="2">
                  <c:v>2017 год - оценка </c:v>
                </c:pt>
                <c:pt idx="3">
                  <c:v>2018 год-прогноз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Sheet1!$B$3:$H$3</c:f>
              <c:numCache>
                <c:formatCode>0.0</c:formatCode>
                <c:ptCount val="6"/>
                <c:pt idx="0">
                  <c:v>15.794206074910788</c:v>
                </c:pt>
                <c:pt idx="1">
                  <c:v>14.396644561582516</c:v>
                </c:pt>
                <c:pt idx="2">
                  <c:v>14.757043458423636</c:v>
                </c:pt>
                <c:pt idx="3">
                  <c:v>14.75816099811998</c:v>
                </c:pt>
                <c:pt idx="4">
                  <c:v>15.299290780141826</c:v>
                </c:pt>
                <c:pt idx="5">
                  <c:v>15.390820584144652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4-C4C5-4FC9-8AC4-7160A1B5E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193344"/>
        <c:axId val="117219712"/>
      </c:lineChart>
      <c:catAx>
        <c:axId val="1332340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71918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1719180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495016611295681E-2"/>
              <c:y val="0.3671875000000005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3234048"/>
        <c:crosses val="autoZero"/>
        <c:crossBetween val="between"/>
      </c:valAx>
      <c:catAx>
        <c:axId val="1171933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7219712"/>
        <c:crossesAt val="14"/>
        <c:auto val="0"/>
        <c:lblAlgn val="ctr"/>
        <c:lblOffset val="100"/>
        <c:noMultiLvlLbl val="0"/>
      </c:catAx>
      <c:valAx>
        <c:axId val="117219712"/>
        <c:scaling>
          <c:orientation val="minMax"/>
          <c:max val="16"/>
          <c:min val="1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713845551914812"/>
              <c:y val="0.42160732479134194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7193344"/>
        <c:crosses val="max"/>
        <c:crossBetween val="between"/>
        <c:majorUnit val="0.5"/>
        <c:minorUnit val="4.0000000000000022E-2"/>
      </c:val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4.0252411587939893E-2"/>
          <c:y val="0.83560256892588769"/>
          <c:w val="0.81361277445109781"/>
          <c:h val="0.1242465381482487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</a:t>
            </a:r>
            <a:r>
              <a:rPr lang="ru-RU" sz="1400" baseline="0"/>
              <a:t> о</a:t>
            </a:r>
            <a:r>
              <a:rPr lang="ru-RU" sz="1400"/>
              <a:t>бъёма инвестиций в основной капитал по базовому варианту развития</a:t>
            </a:r>
          </a:p>
        </c:rich>
      </c:tx>
      <c:layout>
        <c:manualLayout>
          <c:xMode val="edge"/>
          <c:yMode val="edge"/>
          <c:x val="0.13586240786240891"/>
          <c:y val="7.1771546267888177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146422628951804"/>
          <c:y val="8.8516746411483743E-2"/>
          <c:w val="0.8251494526204306"/>
          <c:h val="0.741535697299587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spPr>
            <a:solidFill>
              <a:srgbClr val="66CCFF"/>
            </a:solidFill>
          </c:spPr>
          <c:invertIfNegative val="0"/>
          <c:dLbls>
            <c:dLbl>
              <c:idx val="0"/>
              <c:layout>
                <c:manualLayout>
                  <c:x val="-2.1301243978409526E-3"/>
                  <c:y val="0.2813190714023294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5B-4B79-9E23-3333096573E4}"/>
                </c:ext>
              </c:extLst>
            </c:dLbl>
            <c:dLbl>
              <c:idx val="1"/>
              <c:layout>
                <c:manualLayout>
                  <c:x val="-1.8216598117839339E-3"/>
                  <c:y val="0.314946002536199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5B-4B79-9E23-3333096573E4}"/>
                </c:ext>
              </c:extLst>
            </c:dLbl>
            <c:dLbl>
              <c:idx val="2"/>
              <c:layout>
                <c:manualLayout>
                  <c:x val="-1.2957548257161282E-3"/>
                  <c:y val="0.323379161874431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5B-4B79-9E23-3333096573E4}"/>
                </c:ext>
              </c:extLst>
            </c:dLbl>
            <c:dLbl>
              <c:idx val="3"/>
              <c:layout>
                <c:manualLayout>
                  <c:x val="-1.5351815666776369E-3"/>
                  <c:y val="0.2988494305487980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5B-4B79-9E23-3333096573E4}"/>
                </c:ext>
              </c:extLst>
            </c:dLbl>
            <c:dLbl>
              <c:idx val="4"/>
              <c:layout>
                <c:manualLayout>
                  <c:x val="1.5881135251214103E-3"/>
                  <c:y val="0.3477730833771883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5B-4B79-9E23-3333096573E4}"/>
                </c:ext>
              </c:extLst>
            </c:dLbl>
            <c:dLbl>
              <c:idx val="5"/>
              <c:layout>
                <c:manualLayout>
                  <c:x val="1.5396699491187701E-3"/>
                  <c:y val="0.3457045407155127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5B-4B79-9E23-3333096573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Sheet1!$C$1:$G$1</c:f>
              <c:strCache>
                <c:ptCount val="5"/>
                <c:pt idx="0">
                  <c:v>2016 год-отчет</c:v>
                </c:pt>
                <c:pt idx="1">
                  <c:v>2017 год-оценка</c:v>
                </c:pt>
                <c:pt idx="2">
                  <c:v>2018 год-прогноз</c:v>
                </c:pt>
                <c:pt idx="3">
                  <c:v>2019 год - прогноз</c:v>
                </c:pt>
                <c:pt idx="4">
                  <c:v>2020 год - прогноз</c:v>
                </c:pt>
              </c:strCache>
            </c:strRef>
          </c:cat>
          <c:val>
            <c:numRef>
              <c:f>Sheet1!$C$2:$G$2</c:f>
              <c:numCache>
                <c:formatCode>#,##0.0</c:formatCode>
                <c:ptCount val="5"/>
                <c:pt idx="0">
                  <c:v>16874.960000000021</c:v>
                </c:pt>
                <c:pt idx="1">
                  <c:v>17247.419999999947</c:v>
                </c:pt>
                <c:pt idx="2">
                  <c:v>17093.93</c:v>
                </c:pt>
                <c:pt idx="3">
                  <c:v>17490.8</c:v>
                </c:pt>
                <c:pt idx="4">
                  <c:v>17676.02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B5B-4B79-9E23-3333096573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53088"/>
        <c:axId val="116954624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в сопоставимых ценах</c:v>
                </c:pt>
              </c:strCache>
            </c:strRef>
          </c:tx>
          <c:spPr>
            <a:ln w="44450">
              <a:solidFill>
                <a:srgbClr val="66CCFF"/>
              </a:solidFill>
            </a:ln>
          </c:spPr>
          <c:marker>
            <c:spPr>
              <a:solidFill>
                <a:srgbClr val="0000CC"/>
              </a:solidFill>
            </c:spPr>
          </c:marker>
          <c:dLbls>
            <c:dLbl>
              <c:idx val="0"/>
              <c:layout>
                <c:manualLayout>
                  <c:x val="-1.5739209502989029E-2"/>
                  <c:y val="-4.2816794984580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5B-4B79-9E23-3333096573E4}"/>
                </c:ext>
              </c:extLst>
            </c:dLbl>
            <c:dLbl>
              <c:idx val="1"/>
              <c:layout>
                <c:manualLayout>
                  <c:x val="-3.0998781172009555E-2"/>
                  <c:y val="-5.2137552005242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5B-4B79-9E23-3333096573E4}"/>
                </c:ext>
              </c:extLst>
            </c:dLbl>
            <c:dLbl>
              <c:idx val="2"/>
              <c:layout>
                <c:manualLayout>
                  <c:x val="-4.1025363230087666E-2"/>
                  <c:y val="-5.02422774076318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5B-4B79-9E23-3333096573E4}"/>
                </c:ext>
              </c:extLst>
            </c:dLbl>
            <c:dLbl>
              <c:idx val="3"/>
              <c:layout>
                <c:manualLayout>
                  <c:x val="-3.5242104752314291E-2"/>
                  <c:y val="-3.7785130791235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5B-4B79-9E23-3333096573E4}"/>
                </c:ext>
              </c:extLst>
            </c:dLbl>
            <c:dLbl>
              <c:idx val="4"/>
              <c:layout>
                <c:manualLayout>
                  <c:x val="-2.3634341547060209E-2"/>
                  <c:y val="-3.79210239169542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5B-4B79-9E23-3333096573E4}"/>
                </c:ext>
              </c:extLst>
            </c:dLbl>
            <c:dLbl>
              <c:idx val="5"/>
              <c:layout>
                <c:manualLayout>
                  <c:x val="-3.7070073482725598E-2"/>
                  <c:y val="-5.45764251378690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B5B-4B79-9E23-3333096573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Sheet1!$C$1:$G$1</c:f>
              <c:strCache>
                <c:ptCount val="5"/>
                <c:pt idx="0">
                  <c:v>2016 год-отчет</c:v>
                </c:pt>
                <c:pt idx="1">
                  <c:v>2017 год-оценка</c:v>
                </c:pt>
                <c:pt idx="2">
                  <c:v>2018 год-прогноз</c:v>
                </c:pt>
                <c:pt idx="3">
                  <c:v>2019 год - прогноз</c:v>
                </c:pt>
                <c:pt idx="4">
                  <c:v>2020 год - прогноз</c:v>
                </c:pt>
              </c:strCache>
            </c:strRef>
          </c:cat>
          <c:val>
            <c:numRef>
              <c:f>Sheet1!$C$3:$G$3</c:f>
              <c:numCache>
                <c:formatCode>General</c:formatCode>
                <c:ptCount val="5"/>
                <c:pt idx="0">
                  <c:v>81.7</c:v>
                </c:pt>
                <c:pt idx="1">
                  <c:v>97.1</c:v>
                </c:pt>
                <c:pt idx="2">
                  <c:v>97.3</c:v>
                </c:pt>
                <c:pt idx="3">
                  <c:v>99.6</c:v>
                </c:pt>
                <c:pt idx="4">
                  <c:v>98.1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FB5B-4B79-9E23-3333096573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956544"/>
        <c:axId val="116970624"/>
      </c:lineChart>
      <c:catAx>
        <c:axId val="11695308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6954624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116954624"/>
        <c:scaling>
          <c:orientation val="minMax"/>
          <c:max val="31500"/>
          <c:min val="10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млн. рублей</a:t>
                </a:r>
              </a:p>
            </c:rich>
          </c:tx>
          <c:layout>
            <c:manualLayout>
              <c:xMode val="edge"/>
              <c:yMode val="edge"/>
              <c:x val="0.12958331559906391"/>
              <c:y val="0.34221712304420282"/>
            </c:manualLayout>
          </c:layout>
          <c:overlay val="0"/>
        </c:title>
        <c:numFmt formatCode="#,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6953088"/>
        <c:crosses val="autoZero"/>
        <c:crossBetween val="between"/>
        <c:majorUnit val="2000"/>
        <c:minorUnit val="2000"/>
      </c:valAx>
      <c:catAx>
        <c:axId val="1169565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6970624"/>
        <c:crosses val="autoZero"/>
        <c:auto val="0"/>
        <c:lblAlgn val="ctr"/>
        <c:lblOffset val="100"/>
        <c:noMultiLvlLbl val="0"/>
      </c:catAx>
      <c:valAx>
        <c:axId val="116970624"/>
        <c:scaling>
          <c:orientation val="minMax"/>
          <c:max val="145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0381380951459878"/>
              <c:y val="0.37930975421344293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6956544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5.9017345482045874E-2"/>
          <c:y val="0.93394013388775843"/>
          <c:w val="0.89018302828618967"/>
          <c:h val="5.2631578947368432E-2"/>
        </c:manualLayout>
      </c:layout>
      <c:overlay val="0"/>
      <c:spPr>
        <a:ln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>
                <a:solidFill>
                  <a:schemeClr val="accent1"/>
                </a:solidFill>
              </a:rPr>
              <a:t>Динамика оборота розничной торговли</a:t>
            </a:r>
          </a:p>
        </c:rich>
      </c:tx>
      <c:layout>
        <c:manualLayout>
          <c:xMode val="edge"/>
          <c:yMode val="edge"/>
          <c:x val="0.27121467075995676"/>
          <c:y val="4.0875601209747404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146422628951772"/>
          <c:y val="8.8516746411483493E-2"/>
          <c:w val="0.82514945262042783"/>
          <c:h val="0.730299625468166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3.279537669501642E-2"/>
                  <c:y val="0.1209150962871214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36-45AE-A69B-5E33232BDD3A}"/>
                </c:ext>
              </c:extLst>
            </c:dLbl>
            <c:dLbl>
              <c:idx val="1"/>
              <c:layout>
                <c:manualLayout>
                  <c:x val="4.3614039770452376E-2"/>
                  <c:y val="0.1010752307646938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36-45AE-A69B-5E33232BDD3A}"/>
                </c:ext>
              </c:extLst>
            </c:dLbl>
            <c:dLbl>
              <c:idx val="2"/>
              <c:layout>
                <c:manualLayout>
                  <c:x val="3.9672421532824582E-2"/>
                  <c:y val="0.105847710047480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36-45AE-A69B-5E33232BDD3A}"/>
                </c:ext>
              </c:extLst>
            </c:dLbl>
            <c:dLbl>
              <c:idx val="3"/>
              <c:layout>
                <c:manualLayout>
                  <c:x val="2.0974889695028483E-2"/>
                  <c:y val="0.104158188091657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36-45AE-A69B-5E33232BDD3A}"/>
                </c:ext>
              </c:extLst>
            </c:dLbl>
            <c:dLbl>
              <c:idx val="4"/>
              <c:layout>
                <c:manualLayout>
                  <c:x val="2.4364881970647304E-2"/>
                  <c:y val="7.35247279483324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B36-45AE-A69B-5E33232BDD3A}"/>
                </c:ext>
              </c:extLst>
            </c:dLbl>
            <c:dLbl>
              <c:idx val="5"/>
              <c:layout>
                <c:manualLayout>
                  <c:x val="2.4138569735793793E-2"/>
                  <c:y val="0.1004544516205137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36-45AE-A69B-5E33232BDD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2015 год-отчет</c:v>
                </c:pt>
                <c:pt idx="1">
                  <c:v>2016 год-отчет</c:v>
                </c:pt>
                <c:pt idx="2">
                  <c:v>2017 год - оценка</c:v>
                </c:pt>
                <c:pt idx="3">
                  <c:v>2018 год-прогноз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Sheet1!$B$2:$G$2</c:f>
              <c:numCache>
                <c:formatCode>#,##0.0</c:formatCode>
                <c:ptCount val="6"/>
                <c:pt idx="0">
                  <c:v>9044.6200000000008</c:v>
                </c:pt>
                <c:pt idx="1">
                  <c:v>10348.62999999999</c:v>
                </c:pt>
                <c:pt idx="2">
                  <c:v>10585.2</c:v>
                </c:pt>
                <c:pt idx="3">
                  <c:v>10785.3</c:v>
                </c:pt>
                <c:pt idx="4">
                  <c:v>11108.8</c:v>
                </c:pt>
                <c:pt idx="5">
                  <c:v>11474.3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B36-45AE-A69B-5E33232BDD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074176"/>
        <c:axId val="117096448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в сопоставимых ценах</c:v>
                </c:pt>
              </c:strCache>
            </c:strRef>
          </c:tx>
          <c:spPr>
            <a:ln w="50800">
              <a:solidFill>
                <a:srgbClr val="00B050"/>
              </a:solidFill>
            </a:ln>
          </c:spPr>
          <c:marker>
            <c:spPr>
              <a:solidFill>
                <a:srgbClr val="66FF33"/>
              </a:solidFill>
              <a:ln w="6350"/>
            </c:spPr>
          </c:marker>
          <c:dLbls>
            <c:dLbl>
              <c:idx val="0"/>
              <c:layout>
                <c:manualLayout>
                  <c:x val="-4.3157694656426958E-2"/>
                  <c:y val="-9.41065793742076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36-45AE-A69B-5E33232BDD3A}"/>
                </c:ext>
              </c:extLst>
            </c:dLbl>
            <c:dLbl>
              <c:idx val="1"/>
              <c:layout>
                <c:manualLayout>
                  <c:x val="-4.6499642090193284E-2"/>
                  <c:y val="-7.75451944911380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B36-45AE-A69B-5E33232BDD3A}"/>
                </c:ext>
              </c:extLst>
            </c:dLbl>
            <c:dLbl>
              <c:idx val="2"/>
              <c:layout>
                <c:manualLayout>
                  <c:x val="-1.8970594777347825E-2"/>
                  <c:y val="-4.94485064366954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B36-45AE-A69B-5E33232BDD3A}"/>
                </c:ext>
              </c:extLst>
            </c:dLbl>
            <c:dLbl>
              <c:idx val="3"/>
              <c:layout>
                <c:manualLayout>
                  <c:x val="1.7378644310447327E-3"/>
                  <c:y val="-3.778507818972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B36-45AE-A69B-5E33232BDD3A}"/>
                </c:ext>
              </c:extLst>
            </c:dLbl>
            <c:dLbl>
              <c:idx val="4"/>
              <c:layout>
                <c:manualLayout>
                  <c:x val="-5.0342097068374926E-2"/>
                  <c:y val="-6.0393110973487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36-45AE-A69B-5E33232BDD3A}"/>
                </c:ext>
              </c:extLst>
            </c:dLbl>
            <c:dLbl>
              <c:idx val="5"/>
              <c:layout>
                <c:manualLayout>
                  <c:x val="-4.3233401679951794E-2"/>
                  <c:y val="-5.75726709657982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B36-45AE-A69B-5E33232BDD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2015 год-отчет</c:v>
                </c:pt>
                <c:pt idx="1">
                  <c:v>2016 год-отчет</c:v>
                </c:pt>
                <c:pt idx="2">
                  <c:v>2017 год - оценка</c:v>
                </c:pt>
                <c:pt idx="3">
                  <c:v>2018 год-прогноз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 formatCode="General">
                  <c:v>83.6</c:v>
                </c:pt>
                <c:pt idx="1">
                  <c:v>96.1</c:v>
                </c:pt>
                <c:pt idx="2" formatCode="General">
                  <c:v>99.5</c:v>
                </c:pt>
                <c:pt idx="3">
                  <c:v>99.4</c:v>
                </c:pt>
                <c:pt idx="4">
                  <c:v>100.7</c:v>
                </c:pt>
                <c:pt idx="5">
                  <c:v>100.8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0B36-45AE-A69B-5E33232BDD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098368"/>
        <c:axId val="117099904"/>
      </c:lineChart>
      <c:catAx>
        <c:axId val="1170741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7096448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117096448"/>
        <c:scaling>
          <c:orientation val="minMax"/>
          <c:max val="13000"/>
          <c:min val="10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млр. рублей</a:t>
                </a:r>
              </a:p>
            </c:rich>
          </c:tx>
          <c:layout>
            <c:manualLayout>
              <c:xMode val="edge"/>
              <c:yMode val="edge"/>
              <c:x val="1.1647254575707163E-2"/>
              <c:y val="0.35167464114832536"/>
            </c:manualLayout>
          </c:layout>
          <c:overlay val="0"/>
        </c:title>
        <c:numFmt formatCode="#,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7074176"/>
        <c:crosses val="autoZero"/>
        <c:crossBetween val="between"/>
        <c:majorUnit val="2000"/>
        <c:minorUnit val="1000"/>
      </c:valAx>
      <c:catAx>
        <c:axId val="1170983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7099904"/>
        <c:crosses val="autoZero"/>
        <c:auto val="0"/>
        <c:lblAlgn val="ctr"/>
        <c:lblOffset val="100"/>
        <c:noMultiLvlLbl val="0"/>
      </c:catAx>
      <c:valAx>
        <c:axId val="117099904"/>
        <c:scaling>
          <c:orientation val="minMax"/>
          <c:max val="110"/>
          <c:min val="2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509151414309711"/>
              <c:y val="0.42344497607655557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7098368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4.838325871823803E-2"/>
          <c:y val="0.90996991949040074"/>
          <c:w val="0.89018302828618967"/>
          <c:h val="8.985650905311978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оборота общественного питания</a:t>
            </a:r>
          </a:p>
        </c:rich>
      </c:tx>
      <c:layout>
        <c:manualLayout>
          <c:xMode val="edge"/>
          <c:yMode val="edge"/>
          <c:x val="0.27121467075995676"/>
          <c:y val="4.0875601209747404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146422628951772"/>
          <c:y val="8.8516746411483493E-2"/>
          <c:w val="0.82514945262042783"/>
          <c:h val="0.7182799243117875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spPr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3.1015748031496086E-2"/>
                  <c:y val="0.1138042955898118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28D-4595-AC12-19358126CF70}"/>
                </c:ext>
              </c:extLst>
            </c:dLbl>
            <c:dLbl>
              <c:idx val="1"/>
              <c:layout>
                <c:manualLayout>
                  <c:x val="3.6515670835263282E-2"/>
                  <c:y val="0.1201392924475989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8D-4595-AC12-19358126CF70}"/>
                </c:ext>
              </c:extLst>
            </c:dLbl>
            <c:dLbl>
              <c:idx val="2"/>
              <c:layout>
                <c:manualLayout>
                  <c:x val="3.8200864597807624E-2"/>
                  <c:y val="0.1137421906768696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8D-4595-AC12-19358126CF70}"/>
                </c:ext>
              </c:extLst>
            </c:dLbl>
            <c:dLbl>
              <c:idx val="3"/>
              <c:layout>
                <c:manualLayout>
                  <c:x val="4.9664350779681947E-2"/>
                  <c:y val="0.1352846105504419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8D-4595-AC12-19358126CF70}"/>
                </c:ext>
              </c:extLst>
            </c:dLbl>
            <c:dLbl>
              <c:idx val="4"/>
              <c:layout>
                <c:manualLayout>
                  <c:x val="2.9847468161502435E-2"/>
                  <c:y val="0.1730787138354564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28D-4595-AC12-19358126CF70}"/>
                </c:ext>
              </c:extLst>
            </c:dLbl>
            <c:dLbl>
              <c:idx val="5"/>
              <c:layout>
                <c:manualLayout>
                  <c:x val="1.3780675605594565E-2"/>
                  <c:y val="0.2106046363776719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8D-4595-AC12-19358126CF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2015 год-отчет</c:v>
                </c:pt>
                <c:pt idx="1">
                  <c:v>2016 год-отчет</c:v>
                </c:pt>
                <c:pt idx="2">
                  <c:v>2017 год-отчет</c:v>
                </c:pt>
                <c:pt idx="3">
                  <c:v>2018 год - оценка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Sheet1!$B$2:$G$2</c:f>
              <c:numCache>
                <c:formatCode>#,##0.0</c:formatCode>
                <c:ptCount val="6"/>
                <c:pt idx="0">
                  <c:v>2776.3</c:v>
                </c:pt>
                <c:pt idx="1">
                  <c:v>2906.8</c:v>
                </c:pt>
                <c:pt idx="2">
                  <c:v>3007.9</c:v>
                </c:pt>
                <c:pt idx="3">
                  <c:v>3134.3</c:v>
                </c:pt>
                <c:pt idx="4">
                  <c:v>3259.6</c:v>
                </c:pt>
                <c:pt idx="5">
                  <c:v>3422.6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28D-4595-AC12-19358126CF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708096"/>
        <c:axId val="116709632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в сопоставимых ценах</c:v>
                </c:pt>
              </c:strCache>
            </c:strRef>
          </c:tx>
          <c:spPr>
            <a:ln w="57150"/>
          </c:spPr>
          <c:marker>
            <c:spPr>
              <a:solidFill>
                <a:srgbClr val="0000FF"/>
              </a:solidFill>
            </c:spPr>
          </c:marker>
          <c:dLbls>
            <c:dLbl>
              <c:idx val="0"/>
              <c:layout>
                <c:manualLayout>
                  <c:x val="-3.2356646595646132E-2"/>
                  <c:y val="-4.96756496987172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28D-4595-AC12-19358126CF70}"/>
                </c:ext>
              </c:extLst>
            </c:dLbl>
            <c:dLbl>
              <c:idx val="1"/>
              <c:layout>
                <c:manualLayout>
                  <c:x val="-2.969553805774279E-2"/>
                  <c:y val="-6.6625854866733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28D-4595-AC12-19358126CF70}"/>
                </c:ext>
              </c:extLst>
            </c:dLbl>
            <c:dLbl>
              <c:idx val="2"/>
              <c:layout>
                <c:manualLayout>
                  <c:x val="-4.0087849312953477E-2"/>
                  <c:y val="-5.4064101142286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28D-4595-AC12-19358126CF70}"/>
                </c:ext>
              </c:extLst>
            </c:dLbl>
            <c:dLbl>
              <c:idx val="3"/>
              <c:layout>
                <c:manualLayout>
                  <c:x val="-4.3360197622356031E-2"/>
                  <c:y val="-5.6924771727477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28D-4595-AC12-19358126CF70}"/>
                </c:ext>
              </c:extLst>
            </c:dLbl>
            <c:dLbl>
              <c:idx val="4"/>
              <c:layout>
                <c:manualLayout>
                  <c:x val="-4.3441289295851566E-2"/>
                  <c:y val="-9.9555908216380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28D-4595-AC12-19358126CF70}"/>
                </c:ext>
              </c:extLst>
            </c:dLbl>
            <c:dLbl>
              <c:idx val="5"/>
              <c:layout>
                <c:manualLayout>
                  <c:x val="-3.3178069935828149E-2"/>
                  <c:y val="-0.126911792227771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28D-4595-AC12-19358126CF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2015 год-отчет</c:v>
                </c:pt>
                <c:pt idx="1">
                  <c:v>2016 год-отчет</c:v>
                </c:pt>
                <c:pt idx="2">
                  <c:v>2017 год-отчет</c:v>
                </c:pt>
                <c:pt idx="3">
                  <c:v>2018 год - оценка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88.3</c:v>
                </c:pt>
                <c:pt idx="1">
                  <c:v>96.4</c:v>
                </c:pt>
                <c:pt idx="2" formatCode="0.0">
                  <c:v>99.5</c:v>
                </c:pt>
                <c:pt idx="3" formatCode="0.0">
                  <c:v>100.2</c:v>
                </c:pt>
                <c:pt idx="4" formatCode="0">
                  <c:v>100</c:v>
                </c:pt>
                <c:pt idx="5">
                  <c:v>101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328D-4595-AC12-19358126CF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736384"/>
        <c:axId val="116737920"/>
      </c:lineChart>
      <c:catAx>
        <c:axId val="1167080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6709632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116709632"/>
        <c:scaling>
          <c:orientation val="minMax"/>
          <c:max val="3500"/>
          <c:min val="15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млр. рублей</a:t>
                </a:r>
              </a:p>
            </c:rich>
          </c:tx>
          <c:layout>
            <c:manualLayout>
              <c:xMode val="edge"/>
              <c:yMode val="edge"/>
              <c:x val="1.1647254575707163E-2"/>
              <c:y val="0.35167464114832536"/>
            </c:manualLayout>
          </c:layout>
          <c:overlay val="0"/>
        </c:title>
        <c:numFmt formatCode="#,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6708096"/>
        <c:crosses val="autoZero"/>
        <c:crossBetween val="between"/>
        <c:majorUnit val="500"/>
        <c:minorUnit val="500"/>
      </c:valAx>
      <c:catAx>
        <c:axId val="116736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6737920"/>
        <c:crosses val="autoZero"/>
        <c:auto val="0"/>
        <c:lblAlgn val="ctr"/>
        <c:lblOffset val="100"/>
        <c:noMultiLvlLbl val="0"/>
      </c:catAx>
      <c:valAx>
        <c:axId val="116737920"/>
        <c:scaling>
          <c:orientation val="minMax"/>
          <c:max val="120"/>
          <c:min val="2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509151414309711"/>
              <c:y val="0.42344497607655557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6736384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5.490841395356505E-2"/>
          <c:y val="0.91748179364903371"/>
          <c:w val="0.89018302828618967"/>
          <c:h val="8.2344904070089847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объема платных услуг населению</a:t>
            </a:r>
          </a:p>
        </c:rich>
      </c:tx>
      <c:layout>
        <c:manualLayout>
          <c:xMode val="edge"/>
          <c:yMode val="edge"/>
          <c:x val="0.27121467075995676"/>
          <c:y val="4.0875601209747404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146422628951772"/>
          <c:y val="8.8516746411483493E-2"/>
          <c:w val="0.82514945262042783"/>
          <c:h val="0.6950241103582995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2390091863517277E-3"/>
                  <c:y val="-2.140698855596076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EF-4136-8085-157F5BFB0559}"/>
                </c:ext>
              </c:extLst>
            </c:dLbl>
            <c:dLbl>
              <c:idx val="1"/>
              <c:layout>
                <c:manualLayout>
                  <c:x val="-1.596485594276251E-2"/>
                  <c:y val="-4.8496476011564717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EF-4136-8085-157F5BFB0559}"/>
                </c:ext>
              </c:extLst>
            </c:dLbl>
            <c:dLbl>
              <c:idx val="2"/>
              <c:layout>
                <c:manualLayout>
                  <c:x val="4.8675123091442545E-3"/>
                  <c:y val="-1.81936838245892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8EF-4136-8085-157F5BFB0559}"/>
                </c:ext>
              </c:extLst>
            </c:dLbl>
            <c:dLbl>
              <c:idx val="3"/>
              <c:layout>
                <c:manualLayout>
                  <c:x val="3.5933311590489125E-2"/>
                  <c:y val="1.17011536348654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EF-4136-8085-157F5BFB0559}"/>
                </c:ext>
              </c:extLst>
            </c:dLbl>
            <c:dLbl>
              <c:idx val="4"/>
              <c:layout>
                <c:manualLayout>
                  <c:x val="4.8128407026044824E-2"/>
                  <c:y val="0.1269886467679915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8EF-4136-8085-157F5BFB0559}"/>
                </c:ext>
              </c:extLst>
            </c:dLbl>
            <c:dLbl>
              <c:idx val="5"/>
              <c:layout>
                <c:manualLayout>
                  <c:x val="2.1717218779605287E-2"/>
                  <c:y val="0.1229106390770921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8EF-4136-8085-157F5BFB05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2015 год-отчет</c:v>
                </c:pt>
                <c:pt idx="1">
                  <c:v>2065 год-отчет</c:v>
                </c:pt>
                <c:pt idx="2">
                  <c:v>2017 год-оценка</c:v>
                </c:pt>
                <c:pt idx="3">
                  <c:v>2018 год - прогноз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 formatCode="#,##0.0">
                  <c:v>3221.6</c:v>
                </c:pt>
                <c:pt idx="1">
                  <c:v>3414.9</c:v>
                </c:pt>
                <c:pt idx="2" formatCode="#,##0.0">
                  <c:v>3616.4</c:v>
                </c:pt>
                <c:pt idx="3" formatCode="#,##0.0">
                  <c:v>3764.7</c:v>
                </c:pt>
                <c:pt idx="4" formatCode="#,##0.0">
                  <c:v>3964.2</c:v>
                </c:pt>
                <c:pt idx="5" formatCode="#,##0.0">
                  <c:v>4178.2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8EF-4136-8085-157F5BFB0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878720"/>
        <c:axId val="116888704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в сопоставимых ценах</c:v>
                </c:pt>
              </c:strCache>
            </c:strRef>
          </c:tx>
          <c:spPr>
            <a:ln w="57150"/>
          </c:spPr>
          <c:dLbls>
            <c:dLbl>
              <c:idx val="0"/>
              <c:layout>
                <c:manualLayout>
                  <c:x val="-5.3676093742720032E-2"/>
                  <c:y val="-6.055026551913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8EF-4136-8085-157F5BFB0559}"/>
                </c:ext>
              </c:extLst>
            </c:dLbl>
            <c:dLbl>
              <c:idx val="1"/>
              <c:layout>
                <c:manualLayout>
                  <c:x val="-4.1321188401745673E-2"/>
                  <c:y val="-6.2476652627723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8EF-4136-8085-157F5BFB0559}"/>
                </c:ext>
              </c:extLst>
            </c:dLbl>
            <c:dLbl>
              <c:idx val="2"/>
              <c:layout>
                <c:manualLayout>
                  <c:x val="3.9789405022597046E-3"/>
                  <c:y val="-3.3483183788073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8EF-4136-8085-157F5BFB0559}"/>
                </c:ext>
              </c:extLst>
            </c:dLbl>
            <c:dLbl>
              <c:idx val="3"/>
              <c:layout>
                <c:manualLayout>
                  <c:x val="1.7378644310447327E-3"/>
                  <c:y val="-3.778507818972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8EF-4136-8085-157F5BFB0559}"/>
                </c:ext>
              </c:extLst>
            </c:dLbl>
            <c:dLbl>
              <c:idx val="4"/>
              <c:layout>
                <c:manualLayout>
                  <c:x val="-9.2532424201982547E-3"/>
                  <c:y val="-3.7921120787054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8EF-4136-8085-157F5BFB0559}"/>
                </c:ext>
              </c:extLst>
            </c:dLbl>
            <c:dLbl>
              <c:idx val="5"/>
              <c:layout>
                <c:manualLayout>
                  <c:x val="-2.8007689903362398E-2"/>
                  <c:y val="-4.9820850882011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8EF-4136-8085-157F5BFB05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2015 год-отчет</c:v>
                </c:pt>
                <c:pt idx="1">
                  <c:v>2065 год-отчет</c:v>
                </c:pt>
                <c:pt idx="2">
                  <c:v>2017 год-оценка</c:v>
                </c:pt>
                <c:pt idx="3">
                  <c:v>2018 год - прогноз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 formatCode="0.0">
                  <c:v>93.4</c:v>
                </c:pt>
                <c:pt idx="1">
                  <c:v>97.6</c:v>
                </c:pt>
                <c:pt idx="2" formatCode="0.0">
                  <c:v>101.3</c:v>
                </c:pt>
                <c:pt idx="3" formatCode="0.0">
                  <c:v>99.5</c:v>
                </c:pt>
                <c:pt idx="4" formatCode="0.0">
                  <c:v>100.7</c:v>
                </c:pt>
                <c:pt idx="5" formatCode="0.0">
                  <c:v>100.8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48EF-4136-8085-157F5BFB0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890624"/>
        <c:axId val="116912896"/>
      </c:lineChart>
      <c:catAx>
        <c:axId val="1168787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6888704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116888704"/>
        <c:scaling>
          <c:orientation val="minMax"/>
          <c:max val="4500"/>
          <c:min val="15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млр. рублей</a:t>
                </a:r>
              </a:p>
            </c:rich>
          </c:tx>
          <c:layout>
            <c:manualLayout>
              <c:xMode val="edge"/>
              <c:yMode val="edge"/>
              <c:x val="1.1647254575707163E-2"/>
              <c:y val="0.35167464114832536"/>
            </c:manualLayout>
          </c:layout>
          <c:overlay val="0"/>
        </c:title>
        <c:numFmt formatCode="#,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6878720"/>
        <c:crosses val="autoZero"/>
        <c:crossBetween val="between"/>
        <c:majorUnit val="500"/>
        <c:minorUnit val="500"/>
      </c:valAx>
      <c:catAx>
        <c:axId val="116890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6912896"/>
        <c:crosses val="autoZero"/>
        <c:auto val="0"/>
        <c:lblAlgn val="ctr"/>
        <c:lblOffset val="100"/>
        <c:noMultiLvlLbl val="0"/>
      </c:catAx>
      <c:valAx>
        <c:axId val="116912896"/>
        <c:scaling>
          <c:orientation val="minMax"/>
          <c:max val="110"/>
          <c:min val="2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509151414309711"/>
              <c:y val="0.42344497607655557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6890624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5.490841395356505E-2"/>
          <c:y val="0.90997007726975365"/>
          <c:w val="0.89018302828618967"/>
          <c:h val="8.985650905311978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2530055498788216"/>
          <c:y val="3.5270911470328424E-2"/>
          <c:w val="0.39215964416661658"/>
          <c:h val="0.8718104387369405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01.01.2016</c:v>
                </c:pt>
              </c:strCache>
            </c:strRef>
          </c:tx>
          <c:spPr>
            <a:solidFill>
              <a:srgbClr val="66FFFF"/>
            </a:solidFill>
          </c:spPr>
          <c:invertIfNegative val="0"/>
          <c:dLbls>
            <c:dLbl>
              <c:idx val="0"/>
              <c:layout>
                <c:manualLayout>
                  <c:x val="-0.2002404279617719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2392638036809817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2781186094069533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6564417177914145"/>
                  <c:y val="3.8424591738712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работники учреждений культуры</c:v>
                </c:pt>
                <c:pt idx="1">
                  <c:v>педагогические работники учреждений дополнительного образования</c:v>
                </c:pt>
                <c:pt idx="2">
                  <c:v>педагогичесие работники образовательных учреждений общего образования</c:v>
                </c:pt>
                <c:pt idx="3">
                  <c:v>педагогические работники дошкольных образовательных учреждений</c:v>
                </c:pt>
              </c:strCache>
            </c:strRef>
          </c:cat>
          <c:val>
            <c:numRef>
              <c:f>Лист1!$B$2:$B$5</c:f>
              <c:numCache>
                <c:formatCode>#,##0</c:formatCode>
                <c:ptCount val="4"/>
                <c:pt idx="0">
                  <c:v>44760</c:v>
                </c:pt>
                <c:pt idx="1">
                  <c:v>52166.03</c:v>
                </c:pt>
                <c:pt idx="2">
                  <c:v>62810.8</c:v>
                </c:pt>
                <c:pt idx="3">
                  <c:v>51032.800000000003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01.01.2017</c:v>
                </c:pt>
              </c:strCache>
            </c:strRef>
          </c:tx>
          <c:spPr>
            <a:solidFill>
              <a:srgbClr val="CC00FF"/>
            </a:solidFill>
          </c:spPr>
          <c:invertIfNegative val="0"/>
          <c:dLbls>
            <c:dLbl>
              <c:idx val="0"/>
              <c:layout>
                <c:manualLayout>
                  <c:x val="-0.19375881068301568"/>
                  <c:y val="-3.8424027080180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7382413087934701"/>
                  <c:y val="-7.68491834774248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2269938650306750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022494887525562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работники учреждений культуры</c:v>
                </c:pt>
                <c:pt idx="1">
                  <c:v>педагогические работники учреждений дополнительного образования</c:v>
                </c:pt>
                <c:pt idx="2">
                  <c:v>педагогичесие работники образовательных учреждений общего образования</c:v>
                </c:pt>
                <c:pt idx="3">
                  <c:v>педагогические работники дошкольных образовательных учреждений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>
                  <c:v>46745.9</c:v>
                </c:pt>
                <c:pt idx="1">
                  <c:v>52436.3</c:v>
                </c:pt>
                <c:pt idx="2">
                  <c:v>63446.8</c:v>
                </c:pt>
                <c:pt idx="3">
                  <c:v>51404.9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6830208"/>
        <c:axId val="116831744"/>
        <c:axId val="0"/>
      </c:bar3DChart>
      <c:catAx>
        <c:axId val="1168302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6831744"/>
        <c:crosses val="autoZero"/>
        <c:auto val="1"/>
        <c:lblAlgn val="ctr"/>
        <c:lblOffset val="100"/>
        <c:noMultiLvlLbl val="0"/>
      </c:catAx>
      <c:valAx>
        <c:axId val="116831744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6830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3343960839251"/>
          <c:y val="0.66142579439819005"/>
          <c:w val="0.17435067549071687"/>
          <c:h val="0.17893727261037759"/>
        </c:manualLayout>
      </c:layout>
      <c:overlay val="0"/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Обеспеченность дневными общеобразовательными учреждениями</a:t>
            </a:r>
          </a:p>
        </c:rich>
      </c:tx>
      <c:layout>
        <c:manualLayout>
          <c:xMode val="edge"/>
          <c:yMode val="edge"/>
          <c:x val="0.19460334899997966"/>
          <c:y val="2.145739847035256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821086261980809"/>
          <c:y val="0.16722408026755853"/>
          <c:w val="0.80499004291130272"/>
          <c:h val="0.6009865039059456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Количество мест в дневных ОУ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-1.3663594376284383E-2"/>
                  <c:y val="2.65884909547596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6C-4598-80EC-7C15EF0B031A}"/>
                </c:ext>
              </c:extLst>
            </c:dLbl>
            <c:dLbl>
              <c:idx val="1"/>
              <c:layout>
                <c:manualLayout>
                  <c:x val="-1.4319070581293614E-2"/>
                  <c:y val="1.1730307905060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6C-4598-80EC-7C15EF0B031A}"/>
                </c:ext>
              </c:extLst>
            </c:dLbl>
            <c:dLbl>
              <c:idx val="2"/>
              <c:layout>
                <c:manualLayout>
                  <c:x val="-1.4470284237726175E-2"/>
                  <c:y val="8.6021505376344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6C-4598-80EC-7C15EF0B031A}"/>
                </c:ext>
              </c:extLst>
            </c:dLbl>
            <c:dLbl>
              <c:idx val="3"/>
              <c:layout>
                <c:manualLayout>
                  <c:x val="-2.2739018087855407E-2"/>
                  <c:y val="8.9605452544238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6C-4598-80EC-7C15EF0B031A}"/>
                </c:ext>
              </c:extLst>
            </c:dLbl>
            <c:dLbl>
              <c:idx val="4"/>
              <c:layout>
                <c:manualLayout>
                  <c:x val="-2.0671834625323099E-2"/>
                  <c:y val="0.129032258064516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46C-4598-80EC-7C15EF0B031A}"/>
                </c:ext>
              </c:extLst>
            </c:dLbl>
            <c:dLbl>
              <c:idx val="5"/>
              <c:layout>
                <c:manualLayout>
                  <c:x val="-2.8940568475452195E-2"/>
                  <c:y val="0.132616487455197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46C-4598-80EC-7C15EF0B03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2015 год - отчет</c:v>
                </c:pt>
                <c:pt idx="1">
                  <c:v>2016 год - отчет</c:v>
                </c:pt>
                <c:pt idx="2">
                  <c:v>2017 год -        оценка</c:v>
                </c:pt>
                <c:pt idx="3">
                  <c:v>2018 год - прогноз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Sheet1!$B$2:$G$2</c:f>
              <c:numCache>
                <c:formatCode>#,##0</c:formatCode>
                <c:ptCount val="6"/>
                <c:pt idx="0">
                  <c:v>5147</c:v>
                </c:pt>
                <c:pt idx="1">
                  <c:v>5147</c:v>
                </c:pt>
                <c:pt idx="2">
                  <c:v>5091</c:v>
                </c:pt>
                <c:pt idx="3">
                  <c:v>5091</c:v>
                </c:pt>
                <c:pt idx="4">
                  <c:v>5091</c:v>
                </c:pt>
                <c:pt idx="5">
                  <c:v>5091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46C-4598-80EC-7C15EF0B031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Численность детей 7-17 лет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7.1407740699079298E-4"/>
                  <c:y val="2.04982217459503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46C-4598-80EC-7C15EF0B031A}"/>
                </c:ext>
              </c:extLst>
            </c:dLbl>
            <c:dLbl>
              <c:idx val="1"/>
              <c:layout>
                <c:manualLayout>
                  <c:x val="9.7391159438403509E-3"/>
                  <c:y val="-5.742391083636053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46C-4598-80EC-7C15EF0B031A}"/>
                </c:ext>
              </c:extLst>
            </c:dLbl>
            <c:dLbl>
              <c:idx val="2"/>
              <c:layout>
                <c:manualLayout>
                  <c:x val="-2.999791692705085E-3"/>
                  <c:y val="-9.6654107348329694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46C-4598-80EC-7C15EF0B031A}"/>
                </c:ext>
              </c:extLst>
            </c:dLbl>
            <c:dLbl>
              <c:idx val="3"/>
              <c:layout>
                <c:manualLayout>
                  <c:x val="-3.2391299924718796E-4"/>
                  <c:y val="1.342533796178706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46C-4598-80EC-7C15EF0B031A}"/>
                </c:ext>
              </c:extLst>
            </c:dLbl>
            <c:dLbl>
              <c:idx val="4"/>
              <c:layout>
                <c:manualLayout>
                  <c:x val="1.9499888095383488E-4"/>
                  <c:y val="3.252053170773008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46C-4598-80EC-7C15EF0B031A}"/>
                </c:ext>
              </c:extLst>
            </c:dLbl>
            <c:dLbl>
              <c:idx val="5"/>
              <c:layout>
                <c:manualLayout>
                  <c:x val="-1.536389346680656E-3"/>
                  <c:y val="-6.75472017610701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46C-4598-80EC-7C15EF0B03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2015 год - отчет</c:v>
                </c:pt>
                <c:pt idx="1">
                  <c:v>2016 год - отчет</c:v>
                </c:pt>
                <c:pt idx="2">
                  <c:v>2017 год -        оценка</c:v>
                </c:pt>
                <c:pt idx="3">
                  <c:v>2018 год - прогноз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Sheet1!$B$4:$G$4</c:f>
              <c:numCache>
                <c:formatCode>#,##0</c:formatCode>
                <c:ptCount val="6"/>
                <c:pt idx="0">
                  <c:v>8697</c:v>
                </c:pt>
                <c:pt idx="1">
                  <c:v>8937</c:v>
                </c:pt>
                <c:pt idx="2">
                  <c:v>9338</c:v>
                </c:pt>
                <c:pt idx="3">
                  <c:v>9689</c:v>
                </c:pt>
                <c:pt idx="4">
                  <c:v>10017</c:v>
                </c:pt>
                <c:pt idx="5">
                  <c:v>10261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346C-4598-80EC-7C15EF0B03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668864"/>
        <c:axId val="117699328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% обеспеченности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1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0"/>
              <c:layout>
                <c:manualLayout>
                  <c:x val="-6.0870557846935909E-2"/>
                  <c:y val="7.52385894456603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46C-4598-80EC-7C15EF0B031A}"/>
                </c:ext>
              </c:extLst>
            </c:dLbl>
            <c:dLbl>
              <c:idx val="1"/>
              <c:layout>
                <c:manualLayout>
                  <c:x val="-4.3909092758753966E-2"/>
                  <c:y val="-5.5631755707955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46C-4598-80EC-7C15EF0B031A}"/>
                </c:ext>
              </c:extLst>
            </c:dLbl>
            <c:dLbl>
              <c:idx val="2"/>
              <c:layout>
                <c:manualLayout>
                  <c:x val="-2.1651223829579617E-2"/>
                  <c:y val="-6.1145260068297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46C-4598-80EC-7C15EF0B031A}"/>
                </c:ext>
              </c:extLst>
            </c:dLbl>
            <c:dLbl>
              <c:idx val="3"/>
              <c:layout>
                <c:manualLayout>
                  <c:x val="-6.9890984557163166E-2"/>
                  <c:y val="-5.8813817627635392E-2"/>
                </c:manualLayout>
              </c:layout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7.183462532299742E-2"/>
                      <c:h val="5.14159117207123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346C-4598-80EC-7C15EF0B031A}"/>
                </c:ext>
              </c:extLst>
            </c:dLbl>
            <c:dLbl>
              <c:idx val="4"/>
              <c:layout>
                <c:manualLayout>
                  <c:x val="-5.2229750350973644E-2"/>
                  <c:y val="-3.88775999774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46C-4598-80EC-7C15EF0B031A}"/>
                </c:ext>
              </c:extLst>
            </c:dLbl>
            <c:dLbl>
              <c:idx val="5"/>
              <c:layout>
                <c:manualLayout>
                  <c:x val="-2.8940568475452195E-2"/>
                  <c:y val="-4.6594982078853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46C-4598-80EC-7C15EF0B031A}"/>
                </c:ext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2015 год - отчет</c:v>
                </c:pt>
                <c:pt idx="1">
                  <c:v>2016 год - отчет</c:v>
                </c:pt>
                <c:pt idx="2">
                  <c:v>2017 год -        оценка</c:v>
                </c:pt>
                <c:pt idx="3">
                  <c:v>2018 год - прогноз</c:v>
                </c:pt>
                <c:pt idx="4">
                  <c:v>2019 год-прогноз</c:v>
                </c:pt>
                <c:pt idx="5">
                  <c:v>2020 год-прогноз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>
                  <c:v>65.757029882590416</c:v>
                </c:pt>
                <c:pt idx="1">
                  <c:v>63.991147911926703</c:v>
                </c:pt>
                <c:pt idx="2">
                  <c:v>60.576854429927899</c:v>
                </c:pt>
                <c:pt idx="3">
                  <c:v>58.382358000481652</c:v>
                </c:pt>
                <c:pt idx="4">
                  <c:v>56.470666533559594</c:v>
                </c:pt>
                <c:pt idx="5">
                  <c:v>55.127830295942545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4-346C-4598-80EC-7C15EF0B03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701248"/>
        <c:axId val="117580160"/>
      </c:lineChart>
      <c:catAx>
        <c:axId val="11766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76993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17699328"/>
        <c:scaling>
          <c:orientation val="minMax"/>
          <c:max val="9400"/>
          <c:min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мест</a:t>
                </a:r>
              </a:p>
            </c:rich>
          </c:tx>
          <c:layout>
            <c:manualLayout>
              <c:xMode val="edge"/>
              <c:yMode val="edge"/>
              <c:x val="1.2779552715654953E-2"/>
              <c:y val="0.3879598662207364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7668864"/>
        <c:crosses val="autoZero"/>
        <c:crossBetween val="between"/>
      </c:valAx>
      <c:catAx>
        <c:axId val="1177012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117580160"/>
        <c:crosses val="autoZero"/>
        <c:auto val="0"/>
        <c:lblAlgn val="ctr"/>
        <c:lblOffset val="100"/>
        <c:noMultiLvlLbl val="0"/>
      </c:catAx>
      <c:valAx>
        <c:axId val="117580160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089456869009702"/>
              <c:y val="0.4147157190635453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7701248"/>
        <c:crosses val="max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Обеспеченность больничными койками и амбулаторно - поликлиническими учреждениями</a:t>
            </a:r>
          </a:p>
        </c:rich>
      </c:tx>
      <c:layout>
        <c:manualLayout>
          <c:xMode val="edge"/>
          <c:yMode val="edge"/>
          <c:x val="0.19540229885057497"/>
          <c:y val="2.020202020202021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5106732348111696"/>
          <c:y val="0.16835016835016836"/>
          <c:w val="0.75041050903119866"/>
          <c:h val="0.528619528619529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Обеспеченность амбулаторно-поликлиническими учреждениями на 10 тыс. населения, посещений в смену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3.8110300366432782E-3"/>
                  <c:y val="3.958403742971626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53-40B4-A17E-ED5A32621A4C}"/>
                </c:ext>
              </c:extLst>
            </c:dLbl>
            <c:dLbl>
              <c:idx val="1"/>
              <c:layout>
                <c:manualLayout>
                  <c:x val="-4.6728224886092434E-3"/>
                  <c:y val="8.22554171446493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53-40B4-A17E-ED5A32621A4C}"/>
                </c:ext>
              </c:extLst>
            </c:dLbl>
            <c:dLbl>
              <c:idx val="2"/>
              <c:layout>
                <c:manualLayout>
                  <c:x val="-1.9724819513040674E-2"/>
                  <c:y val="7.53968556201870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53-40B4-A17E-ED5A32621A4C}"/>
                </c:ext>
              </c:extLst>
            </c:dLbl>
            <c:dLbl>
              <c:idx val="3"/>
              <c:layout>
                <c:manualLayout>
                  <c:x val="-1.1788310790345587E-2"/>
                  <c:y val="-3.070731525724163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53-40B4-A17E-ED5A32621A4C}"/>
                </c:ext>
              </c:extLst>
            </c:dLbl>
            <c:dLbl>
              <c:idx val="4"/>
              <c:layout>
                <c:manualLayout>
                  <c:x val="-1.0419946566829574E-2"/>
                  <c:y val="9.887532999809101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53-40B4-A17E-ED5A32621A4C}"/>
                </c:ext>
              </c:extLst>
            </c:dLbl>
            <c:dLbl>
              <c:idx val="5"/>
              <c:layout>
                <c:manualLayout>
                  <c:x val="-1.0693618468108271E-2"/>
                  <c:y val="2.644119279069559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A53-40B4-A17E-ED5A32621A4C}"/>
                </c:ext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2015 год - отчет</c:v>
                </c:pt>
                <c:pt idx="1">
                  <c:v>2016 год - отчет</c:v>
                </c:pt>
                <c:pt idx="2">
                  <c:v>2017 год - оценка</c:v>
                </c:pt>
                <c:pt idx="3">
                  <c:v>2018 год-прогноз</c:v>
                </c:pt>
                <c:pt idx="4">
                  <c:v>2019 год - прогноз</c:v>
                </c:pt>
                <c:pt idx="5">
                  <c:v>2020 год - прогноз</c:v>
                </c:pt>
              </c:strCache>
            </c:strRef>
          </c:cat>
          <c:val>
            <c:numRef>
              <c:f>Sheet1!$B$2:$G$2</c:f>
              <c:numCache>
                <c:formatCode>0.0</c:formatCode>
                <c:ptCount val="6"/>
                <c:pt idx="0">
                  <c:v>252.9</c:v>
                </c:pt>
                <c:pt idx="1">
                  <c:v>251.4</c:v>
                </c:pt>
                <c:pt idx="2">
                  <c:v>243.2</c:v>
                </c:pt>
                <c:pt idx="3">
                  <c:v>239.1</c:v>
                </c:pt>
                <c:pt idx="4">
                  <c:v>235.1</c:v>
                </c:pt>
                <c:pt idx="5">
                  <c:v>231.2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A53-40B4-A17E-ED5A32621A4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Обеспеченность больничными койками круглосуточного пребывания на 10 тыс. населения, коек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5.8072213271533439E-3"/>
                  <c:y val="-6.610505443581551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A53-40B4-A17E-ED5A32621A4C}"/>
                </c:ext>
              </c:extLst>
            </c:dLbl>
            <c:dLbl>
              <c:idx val="1"/>
              <c:layout>
                <c:manualLayout>
                  <c:x val="8.8176216754641042E-3"/>
                  <c:y val="-3.77216566222347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A53-40B4-A17E-ED5A32621A4C}"/>
                </c:ext>
              </c:extLst>
            </c:dLbl>
            <c:dLbl>
              <c:idx val="2"/>
              <c:layout>
                <c:manualLayout>
                  <c:x val="1.1828022023774819E-2"/>
                  <c:y val="2.25672832042438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A53-40B4-A17E-ED5A32621A4C}"/>
                </c:ext>
              </c:extLst>
            </c:dLbl>
            <c:dLbl>
              <c:idx val="3"/>
              <c:layout>
                <c:manualLayout>
                  <c:x val="1.1554350122496159E-2"/>
                  <c:y val="-5.35815641915961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A53-40B4-A17E-ED5A32621A4C}"/>
                </c:ext>
              </c:extLst>
            </c:dLbl>
            <c:dLbl>
              <c:idx val="4"/>
              <c:layout>
                <c:manualLayout>
                  <c:x val="7.9966059716279122E-3"/>
                  <c:y val="-2.69592384776761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A53-40B4-A17E-ED5A32621A4C}"/>
                </c:ext>
              </c:extLst>
            </c:dLbl>
            <c:dLbl>
              <c:idx val="5"/>
              <c:layout>
                <c:manualLayout>
                  <c:x val="9.364970195143877E-3"/>
                  <c:y val="-3.5771438090924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A53-40B4-A17E-ED5A32621A4C}"/>
                </c:ext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2015 год - отчет</c:v>
                </c:pt>
                <c:pt idx="1">
                  <c:v>2016 год - отчет</c:v>
                </c:pt>
                <c:pt idx="2">
                  <c:v>2017 год - оценка</c:v>
                </c:pt>
                <c:pt idx="3">
                  <c:v>2018 год-прогноз</c:v>
                </c:pt>
                <c:pt idx="4">
                  <c:v>2019 год - прогноз</c:v>
                </c:pt>
                <c:pt idx="5">
                  <c:v>2020 год - прогноз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>
                  <c:v>49.6</c:v>
                </c:pt>
                <c:pt idx="1">
                  <c:v>50.3</c:v>
                </c:pt>
                <c:pt idx="2">
                  <c:v>48.6</c:v>
                </c:pt>
                <c:pt idx="3">
                  <c:v>47.8</c:v>
                </c:pt>
                <c:pt idx="4">
                  <c:v>47</c:v>
                </c:pt>
                <c:pt idx="5">
                  <c:v>46.2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A53-40B4-A17E-ED5A32621A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7706752"/>
        <c:axId val="117708288"/>
      </c:barChart>
      <c:catAx>
        <c:axId val="11770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7708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770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7706752"/>
        <c:crosses val="autoZero"/>
        <c:crossBetween val="between"/>
        <c:majorUnit val="4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title>
      <c:tx>
        <c:rich>
          <a:bodyPr rot="0" vert="horz"/>
          <a:lstStyle/>
          <a:p>
            <a:pPr>
              <a:defRPr sz="1300"/>
            </a:pPr>
            <a:r>
              <a:rPr lang="ru-RU" sz="1300"/>
              <a:t>Музейный фонд (тыс. единиц)</a:t>
            </a:r>
          </a:p>
        </c:rich>
      </c:tx>
      <c:layout>
        <c:manualLayout>
          <c:xMode val="edge"/>
          <c:yMode val="edge"/>
          <c:x val="0.3476443265302811"/>
          <c:y val="2.173905681144697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6956557014608124E-2"/>
          <c:y val="0.18840572347811371"/>
          <c:w val="0.8969404186795511"/>
          <c:h val="0.619565217391305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Музейный фонд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5.4830085961049828E-4"/>
                  <c:y val="-4.3517737702142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18-461A-8C7F-1E4D3468C23C}"/>
                </c:ext>
              </c:extLst>
            </c:dLbl>
            <c:dLbl>
              <c:idx val="1"/>
              <c:layout>
                <c:manualLayout>
                  <c:x val="-1.4380119022989221E-3"/>
                  <c:y val="-3.6545254423842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18-461A-8C7F-1E4D3468C23C}"/>
                </c:ext>
              </c:extLst>
            </c:dLbl>
            <c:dLbl>
              <c:idx val="2"/>
              <c:layout>
                <c:manualLayout>
                  <c:x val="4.4347625016734002E-4"/>
                  <c:y val="-3.92197104394210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18-461A-8C7F-1E4D3468C23C}"/>
                </c:ext>
              </c:extLst>
            </c:dLbl>
            <c:dLbl>
              <c:idx val="3"/>
              <c:layout>
                <c:manualLayout>
                  <c:x val="-2.098114860835603E-4"/>
                  <c:y val="-2.9529421725510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18-461A-8C7F-1E4D3468C23C}"/>
                </c:ext>
              </c:extLst>
            </c:dLbl>
            <c:dLbl>
              <c:idx val="4"/>
              <c:layout>
                <c:manualLayout>
                  <c:x val="4.3963051759177739E-3"/>
                  <c:y val="-2.7029379392092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18-461A-8C7F-1E4D3468C23C}"/>
                </c:ext>
              </c:extLst>
            </c:dLbl>
            <c:dLbl>
              <c:idx val="5"/>
              <c:layout>
                <c:manualLayout>
                  <c:x val="-1.5601991018510673E-3"/>
                  <c:y val="-1.9400558801117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18-461A-8C7F-1E4D3468C2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2015 год - отчет</c:v>
                </c:pt>
                <c:pt idx="1">
                  <c:v>2016 год - отчет</c:v>
                </c:pt>
                <c:pt idx="2">
                  <c:v>2017 год - оценка</c:v>
                </c:pt>
                <c:pt idx="3">
                  <c:v>2018 год - прогноз</c:v>
                </c:pt>
                <c:pt idx="4">
                  <c:v>2019 год-прогноз</c:v>
                </c:pt>
                <c:pt idx="5">
                  <c:v>2020год-прогноз</c:v>
                </c:pt>
              </c:strCache>
            </c:strRef>
          </c:cat>
          <c:val>
            <c:numRef>
              <c:f>Sheet1!$B$2:$G$2</c:f>
              <c:numCache>
                <c:formatCode>0.00</c:formatCode>
                <c:ptCount val="6"/>
                <c:pt idx="0">
                  <c:v>9.3070000000000004</c:v>
                </c:pt>
                <c:pt idx="1">
                  <c:v>9.4940000000000015</c:v>
                </c:pt>
                <c:pt idx="2">
                  <c:v>9.5340000000000007</c:v>
                </c:pt>
                <c:pt idx="3">
                  <c:v>9.6289999999999996</c:v>
                </c:pt>
                <c:pt idx="4">
                  <c:v>9.7249999999999996</c:v>
                </c:pt>
                <c:pt idx="5">
                  <c:v>9.8220000000000027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718-461A-8C7F-1E4D3468C2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850880"/>
        <c:axId val="117852416"/>
      </c:barChart>
      <c:catAx>
        <c:axId val="11785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/>
          <a:lstStyle/>
          <a:p>
            <a:pPr>
              <a:defRPr/>
            </a:pPr>
            <a:endParaRPr lang="ru-RU"/>
          </a:p>
        </c:txPr>
        <c:crossAx val="117852416"/>
        <c:crosses val="autoZero"/>
        <c:auto val="1"/>
        <c:lblAlgn val="ctr"/>
        <c:lblOffset val="100"/>
        <c:noMultiLvlLbl val="0"/>
      </c:catAx>
      <c:valAx>
        <c:axId val="117852416"/>
        <c:scaling>
          <c:orientation val="minMax"/>
          <c:max val="12"/>
          <c:min val="1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тыс. единиц</a:t>
                </a:r>
              </a:p>
            </c:rich>
          </c:tx>
          <c:layout>
            <c:manualLayout>
              <c:xMode val="edge"/>
              <c:yMode val="edge"/>
              <c:x val="1.6103059581320463E-2"/>
              <c:y val="0.38405797101449396"/>
            </c:manualLayout>
          </c:layout>
          <c:overlay val="0"/>
        </c:title>
        <c:numFmt formatCode="0.00" sourceLinked="1"/>
        <c:majorTickMark val="none"/>
        <c:minorTickMark val="none"/>
        <c:tickLblPos val="nextTo"/>
        <c:txPr>
          <a:bodyPr rot="0"/>
          <a:lstStyle/>
          <a:p>
            <a:pPr>
              <a:defRPr/>
            </a:pPr>
            <a:endParaRPr lang="ru-RU"/>
          </a:p>
        </c:txPr>
        <c:crossAx val="117850880"/>
        <c:crosses val="autoZero"/>
        <c:crossBetween val="between"/>
        <c:majorUnit val="1"/>
        <c:minorUnit val="0.1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0.21205</cdr:x>
      <cdr:y>0.8265</cdr:y>
    </cdr:from>
    <cdr:to>
      <cdr:x>0.5759</cdr:x>
      <cdr:y>0.92587</cdr:y>
    </cdr:to>
    <cdr:sp macro="" textlink="">
      <cdr:nvSpPr>
        <cdr:cNvPr id="2" name="Левая фигурная скобка 1"/>
        <cdr:cNvSpPr/>
      </cdr:nvSpPr>
      <cdr:spPr>
        <a:xfrm xmlns:a="http://schemas.openxmlformats.org/drawingml/2006/main" rot="16200000">
          <a:off x="2242709" y="1630095"/>
          <a:ext cx="310452" cy="2214564"/>
        </a:xfrm>
        <a:prstGeom xmlns:a="http://schemas.openxmlformats.org/drawingml/2006/main" prst="leftBrace">
          <a:avLst/>
        </a:prstGeom>
        <a:ln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0.25039</cdr:x>
      <cdr:y>0.9306</cdr:y>
    </cdr:from>
    <cdr:to>
      <cdr:x>0.43662</cdr:x>
      <cdr:y>0.98423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524000" y="2809875"/>
          <a:ext cx="1133475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0.3349</cdr:x>
      <cdr:y>0.92177</cdr:y>
    </cdr:from>
    <cdr:to>
      <cdr:x>0.4554</cdr:x>
      <cdr:y>1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038376" y="2879794"/>
          <a:ext cx="733420" cy="2444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28 978,5</a:t>
          </a:r>
          <a:endParaRPr lang="ru-RU" sz="1100" baseline="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r>
            <a:rPr lang="ru-RU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721721,29</a:t>
          </a:r>
        </a:p>
        <a:p xmlns:a="http://schemas.openxmlformats.org/drawingml/2006/main"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0.73441</cdr:x>
      <cdr:y>0.74502</cdr:y>
    </cdr:from>
    <cdr:to>
      <cdr:x>0.85711</cdr:x>
      <cdr:y>0.82244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4581914" y="2547570"/>
          <a:ext cx="765510" cy="2647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+4,44%</a:t>
          </a:r>
        </a:p>
      </cdr:txBody>
    </cdr:sp>
  </cdr:relSizeAnchor>
  <cdr:relSizeAnchor xmlns:cdr="http://schemas.openxmlformats.org/drawingml/2006/chartDrawing">
    <cdr:from>
      <cdr:x>0.72107</cdr:x>
      <cdr:y>0.49971</cdr:y>
    </cdr:from>
    <cdr:to>
      <cdr:x>0.84838</cdr:x>
      <cdr:y>0.58359</cdr:y>
    </cdr:to>
    <cdr:sp macro="" textlink="">
      <cdr:nvSpPr>
        <cdr:cNvPr id="4" name="Поле 1"/>
        <cdr:cNvSpPr txBox="1"/>
      </cdr:nvSpPr>
      <cdr:spPr>
        <a:xfrm xmlns:a="http://schemas.openxmlformats.org/drawingml/2006/main">
          <a:off x="4498682" y="1708744"/>
          <a:ext cx="794271" cy="286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+0,51%</a:t>
          </a:r>
        </a:p>
      </cdr:txBody>
    </cdr:sp>
  </cdr:relSizeAnchor>
  <cdr:relSizeAnchor xmlns:cdr="http://schemas.openxmlformats.org/drawingml/2006/chartDrawing">
    <cdr:from>
      <cdr:x>0.8113</cdr:x>
      <cdr:y>0.32814</cdr:y>
    </cdr:from>
    <cdr:to>
      <cdr:x>0.93247</cdr:x>
      <cdr:y>0.41201</cdr:y>
    </cdr:to>
    <cdr:sp macro="" textlink="">
      <cdr:nvSpPr>
        <cdr:cNvPr id="7" name="Поле 1"/>
        <cdr:cNvSpPr txBox="1"/>
      </cdr:nvSpPr>
      <cdr:spPr>
        <a:xfrm xmlns:a="http://schemas.openxmlformats.org/drawingml/2006/main">
          <a:off x="5061572" y="1122074"/>
          <a:ext cx="755965" cy="286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+1,01%</a:t>
          </a:r>
        </a:p>
      </cdr:txBody>
    </cdr:sp>
  </cdr:relSizeAnchor>
  <cdr:relSizeAnchor xmlns:cdr="http://schemas.openxmlformats.org/drawingml/2006/chartDrawing">
    <cdr:from>
      <cdr:x>0.72372</cdr:x>
      <cdr:y>0.13111</cdr:y>
    </cdr:from>
    <cdr:to>
      <cdr:x>0.83568</cdr:x>
      <cdr:y>0.21498</cdr:y>
    </cdr:to>
    <cdr:sp macro="" textlink="">
      <cdr:nvSpPr>
        <cdr:cNvPr id="8" name="Поле 1"/>
        <cdr:cNvSpPr txBox="1"/>
      </cdr:nvSpPr>
      <cdr:spPr>
        <a:xfrm xmlns:a="http://schemas.openxmlformats.org/drawingml/2006/main">
          <a:off x="4515195" y="448318"/>
          <a:ext cx="698504" cy="286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+0,73%</a:t>
          </a:r>
        </a:p>
      </cdr:txBody>
    </cdr:sp>
  </cdr:relSizeAnchor>
  <cdr:relSizeAnchor xmlns:cdr="http://schemas.openxmlformats.org/drawingml/2006/chartDrawing">
    <cdr:from>
      <cdr:x>0.70015</cdr:x>
      <cdr:y>0.28418</cdr:y>
    </cdr:from>
    <cdr:to>
      <cdr:x>0.81613</cdr:x>
      <cdr:y>0.46974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 rot="21088706">
          <a:off x="4381500" y="971751"/>
          <a:ext cx="725806" cy="63451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0591E-33EB-4A61-9741-0FD9455E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41</Pages>
  <Words>11038</Words>
  <Characters>76732</Characters>
  <Application>Microsoft Office Word</Application>
  <DocSecurity>0</DocSecurity>
  <Lines>639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87595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Вера И. Кравец</dc:creator>
  <cp:keywords/>
  <dc:description/>
  <cp:lastModifiedBy>Гончарова Анжела Васильевна</cp:lastModifiedBy>
  <cp:revision>15</cp:revision>
  <cp:lastPrinted>2017-11-10T05:43:00Z</cp:lastPrinted>
  <dcterms:created xsi:type="dcterms:W3CDTF">2017-07-03T04:48:00Z</dcterms:created>
  <dcterms:modified xsi:type="dcterms:W3CDTF">2017-11-14T12:47:00Z</dcterms:modified>
</cp:coreProperties>
</file>