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F" w:rsidRDefault="00C3004F" w:rsidP="00C3004F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3777AD0" wp14:editId="39AF492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4F" w:rsidRDefault="00C3004F" w:rsidP="00C3004F">
      <w:pPr>
        <w:ind w:right="2"/>
        <w:jc w:val="center"/>
        <w:rPr>
          <w:b/>
          <w:color w:val="3366FF"/>
          <w:sz w:val="32"/>
          <w:szCs w:val="32"/>
        </w:rPr>
      </w:pPr>
    </w:p>
    <w:p w:rsidR="00C3004F" w:rsidRPr="00C425F8" w:rsidRDefault="00C3004F" w:rsidP="00C3004F">
      <w:pPr>
        <w:ind w:right="2"/>
        <w:jc w:val="center"/>
        <w:rPr>
          <w:b/>
          <w:color w:val="3366FF"/>
          <w:sz w:val="6"/>
          <w:szCs w:val="32"/>
        </w:rPr>
      </w:pPr>
    </w:p>
    <w:p w:rsidR="00C3004F" w:rsidRPr="00ED3349" w:rsidRDefault="00C3004F" w:rsidP="00C3004F">
      <w:pPr>
        <w:ind w:right="2"/>
        <w:jc w:val="center"/>
        <w:rPr>
          <w:b/>
          <w:color w:val="3366FF"/>
          <w:sz w:val="12"/>
          <w:szCs w:val="32"/>
        </w:rPr>
      </w:pPr>
    </w:p>
    <w:p w:rsidR="00C3004F" w:rsidRPr="00485E30" w:rsidRDefault="00C3004F" w:rsidP="00C3004F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3004F" w:rsidRPr="00485E30" w:rsidRDefault="00C3004F" w:rsidP="00C3004F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3004F" w:rsidRPr="00485E30" w:rsidRDefault="00C3004F" w:rsidP="00C3004F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3004F" w:rsidRPr="00485E30" w:rsidRDefault="00C3004F" w:rsidP="00C3004F">
      <w:pPr>
        <w:ind w:right="2"/>
        <w:jc w:val="center"/>
        <w:rPr>
          <w:color w:val="000000"/>
          <w:sz w:val="2"/>
        </w:rPr>
      </w:pPr>
    </w:p>
    <w:p w:rsidR="00C3004F" w:rsidRPr="00485E30" w:rsidRDefault="00C3004F" w:rsidP="00C3004F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3004F" w:rsidRPr="00485E30" w:rsidTr="00683976">
        <w:trPr>
          <w:trHeight w:val="155"/>
        </w:trPr>
        <w:tc>
          <w:tcPr>
            <w:tcW w:w="565" w:type="dxa"/>
            <w:vAlign w:val="center"/>
          </w:tcPr>
          <w:p w:rsidR="00C3004F" w:rsidRPr="00485E30" w:rsidRDefault="00C3004F" w:rsidP="0068397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3004F" w:rsidRPr="00485E30" w:rsidRDefault="00C3004F" w:rsidP="0068397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3004F" w:rsidRPr="00485E30" w:rsidRDefault="00C3004F" w:rsidP="0068397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3004F" w:rsidRPr="00612AA4" w:rsidRDefault="00C3004F" w:rsidP="00683976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C3004F" w:rsidRPr="00485E30" w:rsidRDefault="00C3004F" w:rsidP="00683976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004F" w:rsidRPr="00485E30" w:rsidRDefault="00C3004F" w:rsidP="00683976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C3004F" w:rsidRPr="00485E30" w:rsidRDefault="00C3004F" w:rsidP="00683976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3004F" w:rsidRPr="00485E30" w:rsidRDefault="00C3004F" w:rsidP="0068397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3004F" w:rsidRPr="00485E30" w:rsidRDefault="00C3004F" w:rsidP="0068397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2486</w:t>
            </w:r>
          </w:p>
        </w:tc>
      </w:tr>
    </w:tbl>
    <w:p w:rsidR="00A70F10" w:rsidRDefault="00A70F10" w:rsidP="00AD16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70F10" w:rsidRDefault="00A70F10" w:rsidP="00AD16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70F10" w:rsidRDefault="00A70F10" w:rsidP="00AD16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70F10" w:rsidRDefault="00A70F10" w:rsidP="00AD16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16DC" w:rsidRPr="00AD16DC" w:rsidRDefault="00AD16DC" w:rsidP="00A70F10">
      <w:pPr>
        <w:pStyle w:val="ConsPlusTitle"/>
        <w:ind w:right="4534"/>
        <w:rPr>
          <w:rFonts w:ascii="Times New Roman" w:hAnsi="Times New Roman" w:cs="Times New Roman"/>
          <w:b w:val="0"/>
          <w:sz w:val="26"/>
          <w:szCs w:val="26"/>
        </w:rPr>
      </w:pPr>
      <w:r w:rsidRPr="00AD16DC">
        <w:rPr>
          <w:rFonts w:ascii="Times New Roman" w:hAnsi="Times New Roman" w:cs="Times New Roman"/>
          <w:b w:val="0"/>
          <w:sz w:val="26"/>
          <w:szCs w:val="26"/>
        </w:rPr>
        <w:t xml:space="preserve">Об осуществлении переданного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органу местного самоуправления </w:t>
      </w:r>
      <w:r w:rsidRPr="00AD16DC">
        <w:rPr>
          <w:rFonts w:ascii="Times New Roman" w:hAnsi="Times New Roman" w:cs="Times New Roman"/>
          <w:b w:val="0"/>
          <w:sz w:val="26"/>
          <w:szCs w:val="26"/>
        </w:rPr>
        <w:t xml:space="preserve">отдельного государственного полномочия по финансовому обеспечению проведения государственной итоговой аттестации </w:t>
      </w:r>
    </w:p>
    <w:p w:rsidR="00E15FCD" w:rsidRPr="00A70F10" w:rsidRDefault="00E15FCD">
      <w:pPr>
        <w:spacing w:after="1"/>
        <w:rPr>
          <w:sz w:val="26"/>
          <w:szCs w:val="26"/>
        </w:rPr>
      </w:pPr>
    </w:p>
    <w:p w:rsidR="00E15FCD" w:rsidRPr="00A70F10" w:rsidRDefault="00E15FCD">
      <w:pPr>
        <w:pStyle w:val="ConsPlusNormal"/>
        <w:jc w:val="both"/>
        <w:rPr>
          <w:sz w:val="26"/>
          <w:szCs w:val="26"/>
        </w:rPr>
      </w:pPr>
    </w:p>
    <w:p w:rsidR="00C3004F" w:rsidRDefault="00040FA5" w:rsidP="00A70F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C3004F" w:rsidSect="00C3004F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A70F10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</w:t>
      </w:r>
      <w:hyperlink r:id="rId5" w:history="1">
        <w:r w:rsidR="00E15FCD" w:rsidRPr="00A70F10">
          <w:rPr>
            <w:rFonts w:ascii="Times New Roman" w:hAnsi="Times New Roman" w:cs="Times New Roman"/>
            <w:spacing w:val="-6"/>
            <w:sz w:val="26"/>
            <w:szCs w:val="26"/>
          </w:rPr>
          <w:t>Закон</w:t>
        </w:r>
      </w:hyperlink>
      <w:r w:rsidRPr="00A70F10">
        <w:rPr>
          <w:rFonts w:ascii="Times New Roman" w:hAnsi="Times New Roman" w:cs="Times New Roman"/>
          <w:spacing w:val="-6"/>
          <w:sz w:val="26"/>
          <w:szCs w:val="26"/>
        </w:rPr>
        <w:t>ом</w:t>
      </w:r>
      <w:r w:rsidR="00E15FCD" w:rsidRPr="00A70F10">
        <w:rPr>
          <w:rFonts w:ascii="Times New Roman" w:hAnsi="Times New Roman" w:cs="Times New Roman"/>
          <w:spacing w:val="-6"/>
          <w:sz w:val="26"/>
          <w:szCs w:val="26"/>
        </w:rPr>
        <w:t xml:space="preserve"> Ханты-Мансийского автономного округа - Югры</w:t>
      </w:r>
      <w:r w:rsidR="00E15FCD" w:rsidRPr="00A70F10">
        <w:rPr>
          <w:rFonts w:ascii="Times New Roman" w:hAnsi="Times New Roman" w:cs="Times New Roman"/>
          <w:sz w:val="26"/>
          <w:szCs w:val="26"/>
        </w:rPr>
        <w:t xml:space="preserve"> от 11.12.2013 </w:t>
      </w:r>
      <w:r w:rsidR="00AD16DC" w:rsidRPr="00A70F10">
        <w:rPr>
          <w:rFonts w:ascii="Times New Roman" w:hAnsi="Times New Roman" w:cs="Times New Roman"/>
          <w:sz w:val="26"/>
          <w:szCs w:val="26"/>
        </w:rPr>
        <w:t>№</w:t>
      </w:r>
      <w:r w:rsidR="00E15FCD" w:rsidRPr="00A70F10">
        <w:rPr>
          <w:rFonts w:ascii="Times New Roman" w:hAnsi="Times New Roman" w:cs="Times New Roman"/>
          <w:sz w:val="26"/>
          <w:szCs w:val="26"/>
        </w:rPr>
        <w:t xml:space="preserve">123-оз </w:t>
      </w:r>
      <w:r w:rsidR="00AD16DC" w:rsidRPr="00A70F10">
        <w:rPr>
          <w:rFonts w:ascii="Times New Roman" w:hAnsi="Times New Roman" w:cs="Times New Roman"/>
          <w:sz w:val="26"/>
          <w:szCs w:val="26"/>
        </w:rPr>
        <w:t>«</w:t>
      </w:r>
      <w:r w:rsidR="00E15FCD" w:rsidRPr="00A70F1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AD16DC" w:rsidRPr="00A70F10">
        <w:rPr>
          <w:rFonts w:ascii="Times New Roman" w:hAnsi="Times New Roman" w:cs="Times New Roman"/>
          <w:sz w:val="26"/>
          <w:szCs w:val="26"/>
        </w:rPr>
        <w:t>»</w:t>
      </w:r>
      <w:r w:rsidR="00E15FCD" w:rsidRPr="00A70F10">
        <w:rPr>
          <w:rFonts w:ascii="Times New Roman" w:hAnsi="Times New Roman" w:cs="Times New Roman"/>
          <w:sz w:val="26"/>
          <w:szCs w:val="26"/>
        </w:rPr>
        <w:t xml:space="preserve">, </w:t>
      </w:r>
      <w:r w:rsidRPr="00A70F1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A70F1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70F10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795CF0">
        <w:rPr>
          <w:rFonts w:ascii="Times New Roman" w:hAnsi="Times New Roman" w:cs="Times New Roman"/>
          <w:sz w:val="26"/>
          <w:szCs w:val="26"/>
        </w:rPr>
        <w:t>автономного округа – Югры от 30.12.</w:t>
      </w:r>
      <w:r w:rsidRPr="00A70F10">
        <w:rPr>
          <w:rFonts w:ascii="Times New Roman" w:hAnsi="Times New Roman" w:cs="Times New Roman"/>
          <w:sz w:val="26"/>
          <w:szCs w:val="26"/>
        </w:rPr>
        <w:t>2016 №567-п</w:t>
      </w:r>
      <w:r w:rsidR="00795CF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70F10">
        <w:rPr>
          <w:rFonts w:ascii="Times New Roman" w:hAnsi="Times New Roman" w:cs="Times New Roman"/>
          <w:sz w:val="26"/>
          <w:szCs w:val="26"/>
        </w:rPr>
        <w:t xml:space="preserve">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</w:t>
      </w:r>
      <w:r w:rsidRPr="00A70F10">
        <w:rPr>
          <w:sz w:val="26"/>
          <w:szCs w:val="26"/>
        </w:rPr>
        <w:t xml:space="preserve"> </w:t>
      </w:r>
      <w:r w:rsidRPr="00A70F10">
        <w:rPr>
          <w:rFonts w:ascii="Times New Roman" w:hAnsi="Times New Roman" w:cs="Times New Roman"/>
          <w:sz w:val="26"/>
          <w:szCs w:val="26"/>
        </w:rPr>
        <w:t xml:space="preserve"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</w:r>
      <w:r w:rsidR="00C3004F">
        <w:rPr>
          <w:rFonts w:ascii="Times New Roman" w:hAnsi="Times New Roman" w:cs="Times New Roman"/>
          <w:sz w:val="26"/>
          <w:szCs w:val="26"/>
        </w:rPr>
        <w:t xml:space="preserve">  </w:t>
      </w:r>
      <w:r w:rsidRPr="00A70F10">
        <w:rPr>
          <w:rFonts w:ascii="Times New Roman" w:hAnsi="Times New Roman" w:cs="Times New Roman"/>
          <w:sz w:val="26"/>
          <w:szCs w:val="26"/>
        </w:rPr>
        <w:t>порядке</w:t>
      </w:r>
      <w:r w:rsidR="00C3004F">
        <w:rPr>
          <w:rFonts w:ascii="Times New Roman" w:hAnsi="Times New Roman" w:cs="Times New Roman"/>
          <w:sz w:val="26"/>
          <w:szCs w:val="26"/>
        </w:rPr>
        <w:t xml:space="preserve">  </w:t>
      </w:r>
      <w:r w:rsidRPr="00A70F10">
        <w:rPr>
          <w:rFonts w:ascii="Times New Roman" w:hAnsi="Times New Roman" w:cs="Times New Roman"/>
          <w:sz w:val="26"/>
          <w:szCs w:val="26"/>
        </w:rPr>
        <w:t xml:space="preserve"> расходования </w:t>
      </w:r>
      <w:r w:rsidR="00C3004F">
        <w:rPr>
          <w:rFonts w:ascii="Times New Roman" w:hAnsi="Times New Roman" w:cs="Times New Roman"/>
          <w:sz w:val="26"/>
          <w:szCs w:val="26"/>
        </w:rPr>
        <w:t xml:space="preserve">  </w:t>
      </w:r>
      <w:r w:rsidRPr="00A70F10">
        <w:rPr>
          <w:rFonts w:ascii="Times New Roman" w:hAnsi="Times New Roman" w:cs="Times New Roman"/>
          <w:sz w:val="26"/>
          <w:szCs w:val="26"/>
        </w:rPr>
        <w:t xml:space="preserve">субвенций, </w:t>
      </w:r>
      <w:r w:rsidR="00C3004F">
        <w:rPr>
          <w:rFonts w:ascii="Times New Roman" w:hAnsi="Times New Roman" w:cs="Times New Roman"/>
          <w:sz w:val="26"/>
          <w:szCs w:val="26"/>
        </w:rPr>
        <w:t xml:space="preserve">   </w:t>
      </w:r>
      <w:r w:rsidRPr="00A70F10">
        <w:rPr>
          <w:rFonts w:ascii="Times New Roman" w:hAnsi="Times New Roman" w:cs="Times New Roman"/>
          <w:sz w:val="26"/>
          <w:szCs w:val="26"/>
        </w:rPr>
        <w:t xml:space="preserve">выделяемых </w:t>
      </w:r>
      <w:r w:rsidR="00C3004F">
        <w:rPr>
          <w:rFonts w:ascii="Times New Roman" w:hAnsi="Times New Roman" w:cs="Times New Roman"/>
          <w:sz w:val="26"/>
          <w:szCs w:val="26"/>
        </w:rPr>
        <w:t xml:space="preserve">   </w:t>
      </w:r>
      <w:r w:rsidRPr="00A70F10">
        <w:rPr>
          <w:rFonts w:ascii="Times New Roman" w:hAnsi="Times New Roman" w:cs="Times New Roman"/>
          <w:sz w:val="26"/>
          <w:szCs w:val="26"/>
        </w:rPr>
        <w:t xml:space="preserve">бюджетам </w:t>
      </w:r>
    </w:p>
    <w:p w:rsidR="00E15FCD" w:rsidRDefault="00040FA5" w:rsidP="00C3004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организаций», в целях</w:t>
      </w:r>
      <w:r w:rsidR="00E15FCD" w:rsidRPr="00A70F10">
        <w:rPr>
          <w:rFonts w:ascii="Times New Roman" w:hAnsi="Times New Roman" w:cs="Times New Roman"/>
          <w:sz w:val="26"/>
          <w:szCs w:val="26"/>
        </w:rPr>
        <w:t xml:space="preserve"> осуществления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образования:</w:t>
      </w:r>
    </w:p>
    <w:p w:rsidR="00A70F10" w:rsidRPr="00A70F10" w:rsidRDefault="00A70F10" w:rsidP="00A70F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 w:rsidR="00AD16DC" w:rsidRPr="00A70F10">
        <w:rPr>
          <w:rFonts w:ascii="Times New Roman" w:hAnsi="Times New Roman" w:cs="Times New Roman"/>
          <w:sz w:val="26"/>
          <w:szCs w:val="26"/>
        </w:rPr>
        <w:t>управление о</w:t>
      </w:r>
      <w:r w:rsidRPr="00A70F10">
        <w:rPr>
          <w:rFonts w:ascii="Times New Roman" w:hAnsi="Times New Roman" w:cs="Times New Roman"/>
          <w:sz w:val="26"/>
          <w:szCs w:val="26"/>
        </w:rPr>
        <w:t xml:space="preserve">бразования Администрации города </w:t>
      </w:r>
      <w:r w:rsidR="00040FA5" w:rsidRPr="00A70F10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A70F10">
        <w:rPr>
          <w:rFonts w:ascii="Times New Roman" w:hAnsi="Times New Roman" w:cs="Times New Roman"/>
          <w:sz w:val="26"/>
          <w:szCs w:val="26"/>
        </w:rPr>
        <w:t>уполномоченным органом по осуществлению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 (далее - переданное отдельное государственное полномочие).</w:t>
      </w:r>
    </w:p>
    <w:p w:rsid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2. </w:t>
      </w:r>
      <w:r w:rsidR="00AD16DC" w:rsidRPr="00A70F10">
        <w:rPr>
          <w:rFonts w:ascii="Times New Roman" w:hAnsi="Times New Roman" w:cs="Times New Roman"/>
          <w:sz w:val="26"/>
          <w:szCs w:val="26"/>
        </w:rPr>
        <w:t>Управлению</w:t>
      </w:r>
      <w:r w:rsidRPr="00A70F10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города</w:t>
      </w:r>
      <w:r w:rsidR="00C03278" w:rsidRPr="00A70F10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A70F10">
        <w:rPr>
          <w:rFonts w:ascii="Times New Roman" w:hAnsi="Times New Roman" w:cs="Times New Roman"/>
          <w:sz w:val="26"/>
          <w:szCs w:val="26"/>
        </w:rPr>
        <w:t>: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2.1. Осуществлять переданное отдельное государственное полномочие в </w:t>
      </w:r>
      <w:r w:rsidRPr="00A70F10">
        <w:rPr>
          <w:rFonts w:ascii="Times New Roman" w:hAnsi="Times New Roman" w:cs="Times New Roman"/>
          <w:spacing w:val="-6"/>
          <w:sz w:val="26"/>
          <w:szCs w:val="26"/>
        </w:rPr>
        <w:t>соответствии с законодательством Российской Федерации и Ханты-Мансийского</w:t>
      </w:r>
      <w:r w:rsidRPr="00A70F10">
        <w:rPr>
          <w:rFonts w:ascii="Times New Roman" w:hAnsi="Times New Roman" w:cs="Times New Roman"/>
          <w:sz w:val="26"/>
          <w:szCs w:val="26"/>
        </w:rPr>
        <w:t xml:space="preserve"> автономного округа - Югры.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2.2. Использовать по целевому назначению субвенции на исполнение переданного отдельного государственного полномочия.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2.3. Представлять в Департамент образования и молодежной политики Ханты-Мансийского автономного округа - Югры отчеты об исполнении переданного отдельного государственного полномочия и использовании субвенций на исполнение переданного отдельного государственного полномочия.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2.4. </w:t>
      </w:r>
      <w:r w:rsidR="00040FA5" w:rsidRPr="00A70F10">
        <w:rPr>
          <w:rFonts w:ascii="Times New Roman" w:hAnsi="Times New Roman" w:cs="Times New Roman"/>
          <w:sz w:val="26"/>
          <w:szCs w:val="26"/>
        </w:rPr>
        <w:t>Предусматривать п</w:t>
      </w:r>
      <w:r w:rsidRPr="00A70F10">
        <w:rPr>
          <w:rFonts w:ascii="Times New Roman" w:hAnsi="Times New Roman" w:cs="Times New Roman"/>
          <w:sz w:val="26"/>
          <w:szCs w:val="26"/>
        </w:rPr>
        <w:t>ри</w:t>
      </w:r>
      <w:r w:rsidR="003C2D9D" w:rsidRPr="00A70F10">
        <w:rPr>
          <w:rFonts w:ascii="Times New Roman" w:hAnsi="Times New Roman" w:cs="Times New Roman"/>
          <w:sz w:val="26"/>
          <w:szCs w:val="26"/>
        </w:rPr>
        <w:t xml:space="preserve"> формировании бюджета</w:t>
      </w:r>
      <w:r w:rsidRPr="00A70F10">
        <w:rPr>
          <w:rFonts w:ascii="Times New Roman" w:hAnsi="Times New Roman" w:cs="Times New Roman"/>
          <w:sz w:val="26"/>
          <w:szCs w:val="26"/>
        </w:rPr>
        <w:t xml:space="preserve"> бюджетные ассигнования на финансовое обеспечение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</w:t>
      </w:r>
      <w:r w:rsidR="003C2D9D" w:rsidRPr="00A70F10">
        <w:rPr>
          <w:rFonts w:ascii="Times New Roman" w:hAnsi="Times New Roman" w:cs="Times New Roman"/>
          <w:sz w:val="26"/>
          <w:szCs w:val="26"/>
        </w:rPr>
        <w:t>, в том числе на</w:t>
      </w:r>
      <w:r w:rsidRPr="00A70F10">
        <w:rPr>
          <w:rFonts w:ascii="Times New Roman" w:hAnsi="Times New Roman" w:cs="Times New Roman"/>
          <w:sz w:val="26"/>
          <w:szCs w:val="26"/>
        </w:rPr>
        <w:t>: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выплату педагогическим работникам муниципального образовательного учреждения, привлекаемым к проведению государственной итоговой аттестации, завершающей освоение основных образовательных программ основного общего и среднего общего образования, компенсации за работу с учетом суммы страховых взносов в государственные внебюджетные фонды; оплату проезда к месту проведения проверки экзаменационных работ и обратно; оплату проживания;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организационные расходы (на приобретение расходных материалов к копировальной и множительной технике, канцелярских товаров) для обеспечения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образования;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обеспечение информационной безопасности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:rsidR="00EE1616" w:rsidRPr="00A70F10" w:rsidRDefault="00EE1616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- доставку экзаменационных материалов в пункты проведения </w:t>
      </w:r>
      <w:r w:rsidRPr="00A70F10">
        <w:rPr>
          <w:rFonts w:ascii="Times New Roman" w:hAnsi="Times New Roman" w:cs="Times New Roman"/>
          <w:sz w:val="26"/>
          <w:szCs w:val="26"/>
        </w:rPr>
        <w:lastRenderedPageBreak/>
        <w:t>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командировочных расходов лицам, доставляющим контрольно-измерительные материалы.</w:t>
      </w:r>
    </w:p>
    <w:p w:rsid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CD" w:rsidRP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40FA5" w:rsidRPr="00A70F10">
        <w:rPr>
          <w:rFonts w:ascii="Times New Roman" w:hAnsi="Times New Roman" w:cs="Times New Roman"/>
          <w:sz w:val="26"/>
          <w:szCs w:val="26"/>
        </w:rPr>
        <w:t>М</w:t>
      </w:r>
      <w:r w:rsidR="00E15FCD" w:rsidRPr="00A70F10">
        <w:rPr>
          <w:rFonts w:ascii="Times New Roman" w:hAnsi="Times New Roman" w:cs="Times New Roman"/>
          <w:sz w:val="26"/>
          <w:szCs w:val="26"/>
        </w:rPr>
        <w:t>униципальным</w:t>
      </w:r>
      <w:r w:rsidR="00040FA5" w:rsidRPr="00A70F10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E15FCD" w:rsidRPr="00A70F10">
        <w:rPr>
          <w:rFonts w:ascii="Times New Roman" w:hAnsi="Times New Roman" w:cs="Times New Roman"/>
          <w:sz w:val="26"/>
          <w:szCs w:val="26"/>
        </w:rPr>
        <w:t xml:space="preserve"> </w:t>
      </w:r>
      <w:r w:rsidR="00040FA5" w:rsidRPr="00A70F10">
        <w:rPr>
          <w:rFonts w:ascii="Times New Roman" w:hAnsi="Times New Roman" w:cs="Times New Roman"/>
          <w:sz w:val="26"/>
          <w:szCs w:val="26"/>
        </w:rPr>
        <w:t xml:space="preserve">организациям осуществлять </w:t>
      </w:r>
      <w:r w:rsidR="00E15FCD" w:rsidRPr="00A70F10">
        <w:rPr>
          <w:rFonts w:ascii="Times New Roman" w:hAnsi="Times New Roman" w:cs="Times New Roman"/>
          <w:sz w:val="26"/>
          <w:szCs w:val="26"/>
        </w:rPr>
        <w:t>функции: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3.1. По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части: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выплаты педагогическим работникам муниципального образовательного учреждения, привлекаемым к проведению государственной итоговой аттестации, завершающей освоение основных образовательных программ основного общего и среднего общего образования, компенсации за работу с учетом суммы страховых взносов в государственные внебюджетные фонды; оплаты проезда к месту проведения проверки экзаменационных работ и обратно; оплаты проживания;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оплаты организационных расходов (приобретения расходных материалов к копировальной и множительной технике, канцелярских товаров) для обеспечения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образования;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- обеспечения информационной безопасности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</w:t>
      </w:r>
      <w:r w:rsidR="008865BA" w:rsidRPr="00A70F10">
        <w:rPr>
          <w:rFonts w:ascii="Times New Roman" w:hAnsi="Times New Roman" w:cs="Times New Roman"/>
          <w:sz w:val="26"/>
          <w:szCs w:val="26"/>
        </w:rPr>
        <w:t>;</w:t>
      </w:r>
    </w:p>
    <w:p w:rsidR="008865BA" w:rsidRPr="00A70F10" w:rsidRDefault="008865BA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- </w:t>
      </w:r>
      <w:r w:rsidR="00040FA5" w:rsidRPr="00A70F10">
        <w:rPr>
          <w:rFonts w:ascii="Times New Roman" w:hAnsi="Times New Roman" w:cs="Times New Roman"/>
          <w:sz w:val="26"/>
          <w:szCs w:val="26"/>
        </w:rPr>
        <w:t>выплаты командировочных расходов лицам, доставляющим контрольно-измерительные материалы в</w:t>
      </w:r>
      <w:r w:rsidRPr="00A70F10">
        <w:rPr>
          <w:rFonts w:ascii="Times New Roman" w:hAnsi="Times New Roman" w:cs="Times New Roman"/>
          <w:sz w:val="26"/>
          <w:szCs w:val="26"/>
        </w:rPr>
        <w:t xml:space="preserve"> пункты проведения государственной итоговой аттестации, завершающей освоение основных образовательных программ основного общего</w:t>
      </w:r>
      <w:r w:rsidR="00040FA5" w:rsidRPr="00A70F10">
        <w:rPr>
          <w:rFonts w:ascii="Times New Roman" w:hAnsi="Times New Roman" w:cs="Times New Roman"/>
          <w:sz w:val="26"/>
          <w:szCs w:val="26"/>
        </w:rPr>
        <w:t xml:space="preserve"> и среднего общего образования.</w:t>
      </w:r>
    </w:p>
    <w:p w:rsidR="00E15FCD" w:rsidRPr="00A70F10" w:rsidRDefault="00E15FCD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3.2. По подготовке информации, необходимой для составления отчетов об исполнении переданного отдельного государственного полномочия.</w:t>
      </w:r>
    </w:p>
    <w:p w:rsidR="00373A94" w:rsidRPr="00A70F10" w:rsidRDefault="00373A94" w:rsidP="00A70F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3A94" w:rsidRPr="00A70F10" w:rsidRDefault="00373A94" w:rsidP="00A70F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4. Руководителям общеобразовательных организаций города Когалыма при исполнении </w:t>
      </w:r>
      <w:r w:rsidR="001024AB" w:rsidRPr="00A70F10">
        <w:rPr>
          <w:rFonts w:ascii="Times New Roman" w:hAnsi="Times New Roman" w:cs="Times New Roman"/>
          <w:sz w:val="26"/>
          <w:szCs w:val="26"/>
        </w:rPr>
        <w:t>под</w:t>
      </w:r>
      <w:r w:rsidRPr="00A70F10">
        <w:rPr>
          <w:rFonts w:ascii="Times New Roman" w:hAnsi="Times New Roman" w:cs="Times New Roman"/>
          <w:sz w:val="26"/>
          <w:szCs w:val="26"/>
        </w:rPr>
        <w:t>пункта 3</w:t>
      </w:r>
      <w:r w:rsidR="001024AB" w:rsidRPr="00A70F10">
        <w:rPr>
          <w:rFonts w:ascii="Times New Roman" w:hAnsi="Times New Roman" w:cs="Times New Roman"/>
          <w:sz w:val="26"/>
          <w:szCs w:val="26"/>
        </w:rPr>
        <w:t>.1 пункта 3</w:t>
      </w:r>
      <w:r w:rsidRPr="00A70F10">
        <w:rPr>
          <w:rFonts w:ascii="Times New Roman" w:hAnsi="Times New Roman" w:cs="Times New Roman"/>
          <w:sz w:val="26"/>
          <w:szCs w:val="26"/>
        </w:rPr>
        <w:t xml:space="preserve"> настоящего постановления руководствоваться Приложением 13 к постановлению Правительства </w:t>
      </w:r>
      <w:r w:rsidR="00A70F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70F1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30 декабря 2016 года №567-п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</w:t>
      </w:r>
      <w:r w:rsidRPr="00A70F10">
        <w:rPr>
          <w:rFonts w:ascii="Times New Roman" w:hAnsi="Times New Roman" w:cs="Times New Roman"/>
          <w:sz w:val="26"/>
          <w:szCs w:val="26"/>
        </w:rPr>
        <w:lastRenderedPageBreak/>
        <w:t>реализации прав на</w:t>
      </w:r>
      <w:r w:rsidRPr="00A70F10">
        <w:rPr>
          <w:sz w:val="26"/>
          <w:szCs w:val="26"/>
        </w:rPr>
        <w:t xml:space="preserve"> </w:t>
      </w:r>
      <w:r w:rsidRPr="00A70F10">
        <w:rPr>
          <w:rFonts w:ascii="Times New Roman" w:hAnsi="Times New Roman" w:cs="Times New Roman"/>
          <w:sz w:val="26"/>
          <w:szCs w:val="26"/>
        </w:rPr>
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организаций».</w:t>
      </w:r>
    </w:p>
    <w:p w:rsid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DC" w:rsidRPr="00A70F10" w:rsidRDefault="00B7678B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5</w:t>
      </w:r>
      <w:r w:rsidR="00AD16DC" w:rsidRPr="00A70F1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DC" w:rsidRPr="00A70F10" w:rsidRDefault="00B7678B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>6</w:t>
      </w:r>
      <w:r w:rsidR="00AD16DC" w:rsidRPr="00A70F10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D16DC" w:rsidRPr="00A70F10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AD16DC" w:rsidRPr="00A70F10">
        <w:rPr>
          <w:rFonts w:ascii="Times New Roman" w:hAnsi="Times New Roman" w:cs="Times New Roman"/>
          <w:sz w:val="26"/>
          <w:szCs w:val="26"/>
        </w:rPr>
        <w:t>.</w:t>
      </w:r>
    </w:p>
    <w:p w:rsidR="00AD16DC" w:rsidRDefault="00C3004F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85725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F10" w:rsidRPr="00A70F10" w:rsidRDefault="00A70F10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DC" w:rsidRPr="00A70F10" w:rsidRDefault="00AD16DC" w:rsidP="00A70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10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</w:t>
      </w:r>
      <w:r w:rsidR="00A70F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A70F10">
        <w:rPr>
          <w:rFonts w:ascii="Times New Roman" w:hAnsi="Times New Roman" w:cs="Times New Roman"/>
          <w:sz w:val="26"/>
          <w:szCs w:val="26"/>
        </w:rPr>
        <w:t>Н.Н.</w:t>
      </w:r>
      <w:r w:rsidRPr="00A70F10">
        <w:rPr>
          <w:rFonts w:ascii="Times New Roman" w:hAnsi="Times New Roman" w:cs="Times New Roman"/>
          <w:sz w:val="26"/>
          <w:szCs w:val="26"/>
        </w:rPr>
        <w:t>Пальчиков</w:t>
      </w:r>
      <w:proofErr w:type="spellEnd"/>
    </w:p>
    <w:p w:rsidR="00C03278" w:rsidRDefault="00C03278" w:rsidP="00AD1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78" w:rsidRDefault="00C03278" w:rsidP="00AD1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78" w:rsidRDefault="00C03278" w:rsidP="00AD1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616" w:rsidRDefault="00EE1616" w:rsidP="00AD1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A70F10" w:rsidRDefault="00A70F10" w:rsidP="00C03278">
      <w:pPr>
        <w:widowControl w:val="0"/>
        <w:jc w:val="both"/>
        <w:rPr>
          <w:sz w:val="22"/>
          <w:szCs w:val="22"/>
        </w:rPr>
      </w:pPr>
    </w:p>
    <w:p w:rsidR="00C03278" w:rsidRPr="00C3004F" w:rsidRDefault="00C03278" w:rsidP="00C03278">
      <w:pPr>
        <w:widowControl w:val="0"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>Согласовано:</w:t>
      </w:r>
    </w:p>
    <w:p w:rsidR="00B7678B" w:rsidRPr="00C3004F" w:rsidRDefault="00B7678B" w:rsidP="00B7678B">
      <w:pPr>
        <w:widowControl w:val="0"/>
        <w:jc w:val="both"/>
        <w:rPr>
          <w:color w:val="FFFFFF" w:themeColor="background1"/>
          <w:sz w:val="22"/>
          <w:szCs w:val="22"/>
        </w:rPr>
      </w:pPr>
      <w:proofErr w:type="spellStart"/>
      <w:r w:rsidRPr="00C3004F">
        <w:rPr>
          <w:color w:val="FFFFFF" w:themeColor="background1"/>
          <w:sz w:val="22"/>
          <w:szCs w:val="22"/>
        </w:rPr>
        <w:t>зам.главы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 </w:t>
      </w:r>
      <w:proofErr w:type="spellStart"/>
      <w:r w:rsidRPr="00C3004F">
        <w:rPr>
          <w:color w:val="FFFFFF" w:themeColor="background1"/>
          <w:sz w:val="22"/>
          <w:szCs w:val="22"/>
        </w:rPr>
        <w:t>г.Когалыма</w:t>
      </w:r>
      <w:proofErr w:type="spellEnd"/>
      <w:r w:rsidR="00A70F10" w:rsidRPr="00C3004F">
        <w:rPr>
          <w:color w:val="FFFFFF" w:themeColor="background1"/>
          <w:sz w:val="22"/>
          <w:szCs w:val="22"/>
        </w:rPr>
        <w:tab/>
      </w:r>
      <w:r w:rsidR="00A70F10" w:rsidRPr="00C3004F">
        <w:rPr>
          <w:color w:val="FFFFFF" w:themeColor="background1"/>
          <w:sz w:val="22"/>
          <w:szCs w:val="22"/>
        </w:rPr>
        <w:tab/>
      </w:r>
      <w:r w:rsidR="00A70F10" w:rsidRPr="00C3004F">
        <w:rPr>
          <w:color w:val="FFFFFF" w:themeColor="background1"/>
          <w:sz w:val="22"/>
          <w:szCs w:val="22"/>
        </w:rPr>
        <w:tab/>
      </w:r>
      <w:r w:rsidR="00A70F10" w:rsidRPr="00C3004F">
        <w:rPr>
          <w:color w:val="FFFFFF" w:themeColor="background1"/>
          <w:sz w:val="22"/>
          <w:szCs w:val="22"/>
        </w:rPr>
        <w:tab/>
      </w:r>
      <w:r w:rsidR="00A70F10" w:rsidRPr="00C3004F">
        <w:rPr>
          <w:color w:val="FFFFFF" w:themeColor="background1"/>
          <w:sz w:val="22"/>
          <w:szCs w:val="22"/>
        </w:rPr>
        <w:tab/>
      </w:r>
      <w:proofErr w:type="spellStart"/>
      <w:r w:rsidR="00A70F10" w:rsidRPr="00C3004F">
        <w:rPr>
          <w:color w:val="FFFFFF" w:themeColor="background1"/>
          <w:sz w:val="22"/>
          <w:szCs w:val="22"/>
        </w:rPr>
        <w:t>Л.А.</w:t>
      </w:r>
      <w:r w:rsidRPr="00C3004F">
        <w:rPr>
          <w:color w:val="FFFFFF" w:themeColor="background1"/>
          <w:sz w:val="22"/>
          <w:szCs w:val="22"/>
        </w:rPr>
        <w:t>Юрьева</w:t>
      </w:r>
      <w:proofErr w:type="spellEnd"/>
    </w:p>
    <w:p w:rsidR="00C03278" w:rsidRPr="00C3004F" w:rsidRDefault="00C03278" w:rsidP="00C03278">
      <w:pPr>
        <w:widowControl w:val="0"/>
        <w:jc w:val="both"/>
        <w:rPr>
          <w:color w:val="FFFFFF" w:themeColor="background1"/>
          <w:sz w:val="22"/>
          <w:szCs w:val="22"/>
        </w:rPr>
      </w:pPr>
      <w:proofErr w:type="spellStart"/>
      <w:r w:rsidRPr="00C3004F">
        <w:rPr>
          <w:color w:val="FFFFFF" w:themeColor="background1"/>
          <w:sz w:val="22"/>
          <w:szCs w:val="22"/>
        </w:rPr>
        <w:t>зам.главы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 </w:t>
      </w:r>
      <w:proofErr w:type="spellStart"/>
      <w:r w:rsidRPr="00C3004F">
        <w:rPr>
          <w:color w:val="FFFFFF" w:themeColor="background1"/>
          <w:sz w:val="22"/>
          <w:szCs w:val="22"/>
        </w:rPr>
        <w:t>г.Когалыма</w:t>
      </w:r>
      <w:proofErr w:type="spellEnd"/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proofErr w:type="spellStart"/>
      <w:r w:rsidRPr="00C3004F">
        <w:rPr>
          <w:color w:val="FFFFFF" w:themeColor="background1"/>
          <w:sz w:val="22"/>
          <w:szCs w:val="22"/>
        </w:rPr>
        <w:t>Т.И.Черных</w:t>
      </w:r>
      <w:proofErr w:type="spellEnd"/>
    </w:p>
    <w:p w:rsidR="00C03278" w:rsidRPr="00C3004F" w:rsidRDefault="00B7678B" w:rsidP="00C03278">
      <w:pPr>
        <w:widowControl w:val="0"/>
        <w:jc w:val="both"/>
        <w:rPr>
          <w:color w:val="FFFFFF" w:themeColor="background1"/>
          <w:sz w:val="22"/>
          <w:szCs w:val="22"/>
        </w:rPr>
      </w:pPr>
      <w:proofErr w:type="spellStart"/>
      <w:r w:rsidRPr="00C3004F">
        <w:rPr>
          <w:color w:val="FFFFFF" w:themeColor="background1"/>
          <w:sz w:val="22"/>
          <w:szCs w:val="22"/>
        </w:rPr>
        <w:t>и.о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. </w:t>
      </w:r>
      <w:r w:rsidR="00C03278" w:rsidRPr="00C3004F">
        <w:rPr>
          <w:color w:val="FFFFFF" w:themeColor="background1"/>
          <w:sz w:val="22"/>
          <w:szCs w:val="22"/>
        </w:rPr>
        <w:t>начальник</w:t>
      </w:r>
      <w:r w:rsidRPr="00C3004F">
        <w:rPr>
          <w:color w:val="FFFFFF" w:themeColor="background1"/>
          <w:sz w:val="22"/>
          <w:szCs w:val="22"/>
        </w:rPr>
        <w:t>а</w:t>
      </w:r>
      <w:r w:rsidR="00C03278" w:rsidRPr="00C3004F">
        <w:rPr>
          <w:color w:val="FFFFFF" w:themeColor="background1"/>
          <w:sz w:val="22"/>
          <w:szCs w:val="22"/>
        </w:rPr>
        <w:t xml:space="preserve"> ЮУ</w:t>
      </w:r>
      <w:r w:rsidR="00C03278" w:rsidRPr="00C3004F">
        <w:rPr>
          <w:color w:val="FFFFFF" w:themeColor="background1"/>
          <w:sz w:val="22"/>
          <w:szCs w:val="22"/>
        </w:rPr>
        <w:tab/>
      </w:r>
      <w:r w:rsidR="00C03278" w:rsidRPr="00C3004F">
        <w:rPr>
          <w:color w:val="FFFFFF" w:themeColor="background1"/>
          <w:sz w:val="22"/>
          <w:szCs w:val="22"/>
        </w:rPr>
        <w:tab/>
      </w:r>
      <w:r w:rsidR="00C03278" w:rsidRPr="00C3004F">
        <w:rPr>
          <w:color w:val="FFFFFF" w:themeColor="background1"/>
          <w:sz w:val="22"/>
          <w:szCs w:val="22"/>
        </w:rPr>
        <w:tab/>
      </w:r>
      <w:r w:rsidR="00C03278" w:rsidRPr="00C3004F">
        <w:rPr>
          <w:color w:val="FFFFFF" w:themeColor="background1"/>
          <w:sz w:val="22"/>
          <w:szCs w:val="22"/>
        </w:rPr>
        <w:tab/>
      </w:r>
      <w:r w:rsidR="00C03278" w:rsidRPr="00C3004F">
        <w:rPr>
          <w:color w:val="FFFFFF" w:themeColor="background1"/>
          <w:sz w:val="22"/>
          <w:szCs w:val="22"/>
        </w:rPr>
        <w:tab/>
      </w:r>
      <w:proofErr w:type="spellStart"/>
      <w:r w:rsidRPr="00C3004F">
        <w:rPr>
          <w:color w:val="FFFFFF" w:themeColor="background1"/>
          <w:sz w:val="22"/>
          <w:szCs w:val="22"/>
        </w:rPr>
        <w:t>М.В.Дробина</w:t>
      </w:r>
      <w:proofErr w:type="spellEnd"/>
      <w:r w:rsidR="00C03278" w:rsidRPr="00C3004F">
        <w:rPr>
          <w:color w:val="FFFFFF" w:themeColor="background1"/>
          <w:sz w:val="22"/>
          <w:szCs w:val="22"/>
        </w:rPr>
        <w:t xml:space="preserve"> </w:t>
      </w:r>
    </w:p>
    <w:p w:rsidR="00EF5FAD" w:rsidRPr="00C3004F" w:rsidRDefault="00C03278" w:rsidP="00EF5FAD">
      <w:pPr>
        <w:widowControl w:val="0"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>начальник КФ</w:t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="00A70F10" w:rsidRPr="00C3004F">
        <w:rPr>
          <w:color w:val="FFFFFF" w:themeColor="background1"/>
          <w:sz w:val="22"/>
          <w:szCs w:val="22"/>
        </w:rPr>
        <w:tab/>
      </w:r>
      <w:proofErr w:type="spellStart"/>
      <w:r w:rsidRPr="00C3004F">
        <w:rPr>
          <w:color w:val="FFFFFF" w:themeColor="background1"/>
          <w:sz w:val="22"/>
          <w:szCs w:val="22"/>
        </w:rPr>
        <w:t>М.Г.Рыбачок</w:t>
      </w:r>
      <w:proofErr w:type="spellEnd"/>
      <w:r w:rsidR="00EF5FAD" w:rsidRPr="00C3004F">
        <w:rPr>
          <w:color w:val="FFFFFF" w:themeColor="background1"/>
          <w:sz w:val="22"/>
          <w:szCs w:val="22"/>
        </w:rPr>
        <w:t xml:space="preserve"> </w:t>
      </w:r>
    </w:p>
    <w:p w:rsidR="00EF5FAD" w:rsidRPr="00C3004F" w:rsidRDefault="00EF5FAD" w:rsidP="00EF5FAD">
      <w:pPr>
        <w:widowControl w:val="0"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>начальник УО</w:t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proofErr w:type="spellStart"/>
      <w:r w:rsidRPr="00C3004F">
        <w:rPr>
          <w:color w:val="FFFFFF" w:themeColor="background1"/>
          <w:sz w:val="22"/>
          <w:szCs w:val="22"/>
        </w:rPr>
        <w:t>С.Г.Гришина</w:t>
      </w:r>
      <w:proofErr w:type="spellEnd"/>
    </w:p>
    <w:p w:rsidR="00C03278" w:rsidRPr="00C3004F" w:rsidRDefault="00C03278" w:rsidP="00C03278">
      <w:pPr>
        <w:widowControl w:val="0"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>Подготовлено:</w:t>
      </w:r>
    </w:p>
    <w:p w:rsidR="00C03278" w:rsidRPr="00C3004F" w:rsidRDefault="00C03278" w:rsidP="00C03278">
      <w:pPr>
        <w:widowControl w:val="0"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C3004F">
        <w:rPr>
          <w:color w:val="FFFFFF" w:themeColor="background1"/>
          <w:sz w:val="22"/>
          <w:szCs w:val="22"/>
        </w:rPr>
        <w:t>ОФЭОиК</w:t>
      </w:r>
      <w:proofErr w:type="spellEnd"/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r w:rsidRPr="00C3004F">
        <w:rPr>
          <w:color w:val="FFFFFF" w:themeColor="background1"/>
          <w:sz w:val="22"/>
          <w:szCs w:val="22"/>
        </w:rPr>
        <w:tab/>
      </w:r>
      <w:proofErr w:type="spellStart"/>
      <w:r w:rsidRPr="00C3004F">
        <w:rPr>
          <w:color w:val="FFFFFF" w:themeColor="background1"/>
          <w:sz w:val="22"/>
          <w:szCs w:val="22"/>
        </w:rPr>
        <w:t>Е.В.Демченко</w:t>
      </w:r>
      <w:proofErr w:type="spellEnd"/>
    </w:p>
    <w:p w:rsidR="00C03278" w:rsidRPr="00C3004F" w:rsidRDefault="00C03278" w:rsidP="00C03278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C03278" w:rsidRPr="00C3004F" w:rsidRDefault="00C03278" w:rsidP="00C03278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C3004F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C3004F">
        <w:rPr>
          <w:color w:val="FFFFFF" w:themeColor="background1"/>
          <w:sz w:val="22"/>
          <w:szCs w:val="22"/>
        </w:rPr>
        <w:t>Л.А.Юрьева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, </w:t>
      </w:r>
      <w:proofErr w:type="spellStart"/>
      <w:r w:rsidRPr="00C3004F">
        <w:rPr>
          <w:color w:val="FFFFFF" w:themeColor="background1"/>
          <w:sz w:val="22"/>
          <w:szCs w:val="22"/>
        </w:rPr>
        <w:t>Т.И.Черных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, КФ, </w:t>
      </w:r>
      <w:proofErr w:type="spellStart"/>
      <w:r w:rsidRPr="00C3004F">
        <w:rPr>
          <w:color w:val="FFFFFF" w:themeColor="background1"/>
          <w:sz w:val="22"/>
          <w:szCs w:val="22"/>
        </w:rPr>
        <w:t>ОФЭОиК</w:t>
      </w:r>
      <w:proofErr w:type="spellEnd"/>
      <w:r w:rsidRPr="00C3004F">
        <w:rPr>
          <w:color w:val="FFFFFF" w:themeColor="background1"/>
          <w:sz w:val="22"/>
          <w:szCs w:val="22"/>
        </w:rPr>
        <w:t xml:space="preserve">, ЮУ, УЭ, газета «Когалымский вестник», КСП, </w:t>
      </w:r>
      <w:r w:rsidR="008865BA" w:rsidRPr="00C3004F">
        <w:rPr>
          <w:color w:val="FFFFFF" w:themeColor="background1"/>
          <w:sz w:val="22"/>
          <w:szCs w:val="22"/>
        </w:rPr>
        <w:t xml:space="preserve">С.П. Сабуров, </w:t>
      </w:r>
      <w:r w:rsidRPr="00C3004F">
        <w:rPr>
          <w:color w:val="FFFFFF" w:themeColor="background1"/>
          <w:sz w:val="22"/>
          <w:szCs w:val="22"/>
        </w:rPr>
        <w:t>прокуратура.</w:t>
      </w:r>
    </w:p>
    <w:sectPr w:rsidR="00C03278" w:rsidRPr="00C3004F" w:rsidSect="00A70F1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D"/>
    <w:rsid w:val="00031A8D"/>
    <w:rsid w:val="00040FA5"/>
    <w:rsid w:val="001024AB"/>
    <w:rsid w:val="00106196"/>
    <w:rsid w:val="00373A94"/>
    <w:rsid w:val="003C2D9D"/>
    <w:rsid w:val="004C6E35"/>
    <w:rsid w:val="00795CF0"/>
    <w:rsid w:val="008865BA"/>
    <w:rsid w:val="0096704C"/>
    <w:rsid w:val="00A70F10"/>
    <w:rsid w:val="00AD16DC"/>
    <w:rsid w:val="00B7678B"/>
    <w:rsid w:val="00C03278"/>
    <w:rsid w:val="00C3004F"/>
    <w:rsid w:val="00D56829"/>
    <w:rsid w:val="00E15FCD"/>
    <w:rsid w:val="00EE1616"/>
    <w:rsid w:val="00E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27089F-F530-4B43-A670-879EB6D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consultantplus://offline/ref=98DAE666E5038D6C7EBD35910BC51EB15AF08DDDD564294CBDF30B4EAC7D40E906CF7EF1D453A7EEF6EB67FBCF2A717343K5K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Дацкевич Татьяна Витальевна</cp:lastModifiedBy>
  <cp:revision>10</cp:revision>
  <cp:lastPrinted>2019-11-11T09:22:00Z</cp:lastPrinted>
  <dcterms:created xsi:type="dcterms:W3CDTF">2019-10-16T04:10:00Z</dcterms:created>
  <dcterms:modified xsi:type="dcterms:W3CDTF">2019-11-11T09:22:00Z</dcterms:modified>
</cp:coreProperties>
</file>